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0350F" w14:textId="77777777" w:rsidR="0007657F" w:rsidRDefault="0007657F" w:rsidP="0007657F">
      <w:pPr>
        <w:rPr>
          <w:rFonts w:ascii="Times New Roman" w:hAnsi="Times New Roman" w:cs="Times New Roman"/>
          <w:sz w:val="24"/>
          <w:szCs w:val="24"/>
        </w:rPr>
      </w:pPr>
      <w:bookmarkStart w:id="0" w:name="_GoBack"/>
      <w:bookmarkEnd w:id="0"/>
      <w:r>
        <w:rPr>
          <w:rFonts w:ascii="Times New Roman" w:hAnsi="Times New Roman" w:cs="Times New Roman"/>
          <w:sz w:val="24"/>
          <w:szCs w:val="24"/>
        </w:rPr>
        <w:t>IMPROVING COMPLIANCE WITH INTRAVENOUS SM</w:t>
      </w:r>
      <w:r>
        <w:rPr>
          <w:rFonts w:ascii="Times New Roman" w:hAnsi="Times New Roman" w:cs="Times New Roman"/>
          <w:sz w:val="24"/>
          <w:szCs w:val="24"/>
        </w:rPr>
        <w:softHyphen/>
        <w:t>ART PUMP DOSE ERROR REDUCTION SYSTEMS IN AN ACADEMIC MEDICAL CENTER</w:t>
      </w:r>
    </w:p>
    <w:p w14:paraId="53605019" w14:textId="77777777" w:rsidR="0007657F" w:rsidRDefault="0007657F" w:rsidP="0007657F">
      <w:pPr>
        <w:rPr>
          <w:rFonts w:ascii="Times New Roman" w:hAnsi="Times New Roman" w:cs="Times New Roman"/>
          <w:sz w:val="24"/>
          <w:szCs w:val="24"/>
          <w:u w:val="single"/>
        </w:rPr>
      </w:pPr>
      <w:r>
        <w:rPr>
          <w:rFonts w:ascii="Times New Roman" w:hAnsi="Times New Roman" w:cs="Times New Roman"/>
          <w:sz w:val="24"/>
          <w:szCs w:val="24"/>
          <w:u w:val="single"/>
        </w:rPr>
        <w:t>Abboudi E</w:t>
      </w:r>
      <w:r>
        <w:rPr>
          <w:rFonts w:ascii="Times New Roman" w:hAnsi="Times New Roman" w:cs="Times New Roman"/>
          <w:sz w:val="24"/>
          <w:szCs w:val="24"/>
        </w:rPr>
        <w:t xml:space="preserve">,* </w:t>
      </w:r>
      <w:r>
        <w:rPr>
          <w:rFonts w:ascii="Times New Roman" w:hAnsi="Times New Roman" w:cs="Times New Roman"/>
          <w:sz w:val="24"/>
          <w:szCs w:val="24"/>
          <w:u w:val="single"/>
        </w:rPr>
        <w:t>Shukla H</w:t>
      </w:r>
      <w:r>
        <w:rPr>
          <w:rFonts w:ascii="Times New Roman" w:hAnsi="Times New Roman" w:cs="Times New Roman"/>
          <w:sz w:val="24"/>
          <w:szCs w:val="24"/>
        </w:rPr>
        <w:t xml:space="preserve">, </w:t>
      </w:r>
      <w:r>
        <w:rPr>
          <w:rFonts w:ascii="Times New Roman" w:hAnsi="Times New Roman" w:cs="Times New Roman"/>
          <w:sz w:val="24"/>
          <w:szCs w:val="24"/>
          <w:u w:val="single"/>
        </w:rPr>
        <w:t>Shah D</w:t>
      </w:r>
      <w:r>
        <w:rPr>
          <w:rFonts w:ascii="Times New Roman" w:hAnsi="Times New Roman" w:cs="Times New Roman"/>
          <w:sz w:val="24"/>
          <w:szCs w:val="24"/>
        </w:rPr>
        <w:t xml:space="preserve">, </w:t>
      </w:r>
      <w:r>
        <w:rPr>
          <w:rFonts w:ascii="Times New Roman" w:hAnsi="Times New Roman" w:cs="Times New Roman"/>
          <w:sz w:val="24"/>
          <w:szCs w:val="24"/>
          <w:u w:val="single"/>
        </w:rPr>
        <w:t>Villarente F</w:t>
      </w:r>
      <w:r>
        <w:rPr>
          <w:rFonts w:ascii="Times New Roman" w:hAnsi="Times New Roman" w:cs="Times New Roman"/>
          <w:sz w:val="24"/>
          <w:szCs w:val="24"/>
        </w:rPr>
        <w:t xml:space="preserve">, </w:t>
      </w:r>
      <w:r>
        <w:rPr>
          <w:rFonts w:ascii="Times New Roman" w:hAnsi="Times New Roman" w:cs="Times New Roman"/>
          <w:sz w:val="24"/>
          <w:szCs w:val="24"/>
          <w:u w:val="single"/>
        </w:rPr>
        <w:t>Baron S</w:t>
      </w:r>
      <w:r>
        <w:rPr>
          <w:rFonts w:ascii="Times New Roman" w:hAnsi="Times New Roman" w:cs="Times New Roman"/>
          <w:sz w:val="24"/>
          <w:szCs w:val="24"/>
        </w:rPr>
        <w:t xml:space="preserve">, </w:t>
      </w:r>
      <w:r>
        <w:rPr>
          <w:rFonts w:ascii="Times New Roman" w:hAnsi="Times New Roman" w:cs="Times New Roman"/>
          <w:sz w:val="24"/>
          <w:szCs w:val="24"/>
          <w:u w:val="single"/>
        </w:rPr>
        <w:t>Goriacko P</w:t>
      </w:r>
      <w:r>
        <w:rPr>
          <w:rFonts w:ascii="Times New Roman" w:hAnsi="Times New Roman" w:cs="Times New Roman"/>
          <w:sz w:val="24"/>
          <w:szCs w:val="24"/>
        </w:rPr>
        <w:t xml:space="preserve">, </w:t>
      </w:r>
      <w:r>
        <w:rPr>
          <w:rFonts w:ascii="Times New Roman" w:hAnsi="Times New Roman" w:cs="Times New Roman"/>
          <w:sz w:val="24"/>
          <w:szCs w:val="24"/>
          <w:u w:val="single"/>
        </w:rPr>
        <w:t>Sinnett M</w:t>
      </w:r>
      <w:r>
        <w:rPr>
          <w:rFonts w:ascii="Times New Roman" w:hAnsi="Times New Roman" w:cs="Times New Roman"/>
          <w:sz w:val="24"/>
          <w:szCs w:val="24"/>
        </w:rPr>
        <w:t xml:space="preserve">, </w:t>
      </w:r>
      <w:r>
        <w:rPr>
          <w:rFonts w:ascii="Times New Roman" w:hAnsi="Times New Roman" w:cs="Times New Roman"/>
          <w:sz w:val="24"/>
          <w:szCs w:val="24"/>
          <w:u w:val="single"/>
        </w:rPr>
        <w:t>Messing E</w:t>
      </w:r>
    </w:p>
    <w:p w14:paraId="30EDAC25" w14:textId="77777777" w:rsidR="0007657F" w:rsidRDefault="0007657F" w:rsidP="0007657F">
      <w:pPr>
        <w:rPr>
          <w:rFonts w:ascii="Times New Roman" w:hAnsi="Times New Roman" w:cs="Times New Roman"/>
          <w:sz w:val="24"/>
          <w:szCs w:val="24"/>
        </w:rPr>
      </w:pPr>
      <w:r>
        <w:rPr>
          <w:rFonts w:ascii="Times New Roman" w:hAnsi="Times New Roman" w:cs="Times New Roman"/>
          <w:sz w:val="24"/>
          <w:szCs w:val="24"/>
        </w:rPr>
        <w:t>Montefiore Medical Center, 111 East 210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Street, Bronx, NY 10467</w:t>
      </w:r>
    </w:p>
    <w:p w14:paraId="28F1D1D9" w14:textId="77777777" w:rsidR="0007657F" w:rsidRDefault="0007657F" w:rsidP="0007657F">
      <w:pPr>
        <w:rPr>
          <w:rFonts w:ascii="Times New Roman" w:hAnsi="Times New Roman" w:cs="Times New Roman"/>
          <w:sz w:val="24"/>
          <w:szCs w:val="24"/>
        </w:rPr>
      </w:pPr>
    </w:p>
    <w:p w14:paraId="600C3378" w14:textId="77777777" w:rsidR="0007657F" w:rsidRDefault="0007657F" w:rsidP="0007657F">
      <w:pPr>
        <w:rPr>
          <w:rFonts w:ascii="Times New Roman" w:hAnsi="Times New Roman" w:cs="Times New Roman"/>
          <w:b/>
          <w:bCs/>
          <w:sz w:val="24"/>
          <w:szCs w:val="24"/>
        </w:rPr>
      </w:pPr>
      <w:r>
        <w:rPr>
          <w:rFonts w:ascii="Times New Roman" w:hAnsi="Times New Roman" w:cs="Times New Roman"/>
          <w:b/>
          <w:bCs/>
          <w:sz w:val="24"/>
          <w:szCs w:val="24"/>
        </w:rPr>
        <w:t xml:space="preserve">Background: </w:t>
      </w:r>
      <w:r>
        <w:rPr>
          <w:rFonts w:ascii="Times New Roman" w:eastAsia="Calibri" w:hAnsi="Times New Roman" w:cs="Times New Roman"/>
          <w:sz w:val="24"/>
          <w:szCs w:val="24"/>
        </w:rPr>
        <w:t>Smart infusion pump dose error-reduction systems (DERS) technology has set a new standard for safe intravenous medication administration. The Institute for Safe Medication Practices (ISMP) found that only 79% of nurses utilize the DERS at least 90% of the time due to medications missing from the drug library and preference to use basic infusion mode in emergency situations.</w:t>
      </w:r>
    </w:p>
    <w:p w14:paraId="4F1F60EE" w14:textId="77777777" w:rsidR="0007657F" w:rsidRDefault="0007657F" w:rsidP="0007657F">
      <w:pPr>
        <w:rPr>
          <w:rFonts w:ascii="Times New Roman" w:hAnsi="Times New Roman" w:cs="Times New Roman"/>
          <w:sz w:val="24"/>
          <w:szCs w:val="24"/>
        </w:rPr>
      </w:pPr>
      <w:r>
        <w:rPr>
          <w:rFonts w:ascii="Times New Roman" w:hAnsi="Times New Roman" w:cs="Times New Roman"/>
          <w:b/>
          <w:bCs/>
          <w:sz w:val="24"/>
          <w:szCs w:val="24"/>
        </w:rPr>
        <w:t>Objectives</w:t>
      </w:r>
      <w:r>
        <w:rPr>
          <w:rFonts w:ascii="Times New Roman" w:hAnsi="Times New Roman" w:cs="Times New Roman"/>
          <w:sz w:val="24"/>
          <w:szCs w:val="24"/>
        </w:rPr>
        <w:t xml:space="preserve">: </w:t>
      </w:r>
      <w:r>
        <w:rPr>
          <w:rFonts w:ascii="Times New Roman" w:eastAsia="Calibri" w:hAnsi="Times New Roman" w:cs="Times New Roman"/>
          <w:sz w:val="24"/>
          <w:szCs w:val="24"/>
        </w:rPr>
        <w:t>To comply with ISMP’s recommendation to maintain 95% DERS compliance, the goal of this performance improvement project is to increase the percentage of infusions being run with DERS within the health system from 79% to 95% by July 2021. </w:t>
      </w:r>
    </w:p>
    <w:p w14:paraId="01D6583E" w14:textId="77777777" w:rsidR="0007657F" w:rsidRDefault="0007657F" w:rsidP="0007657F">
      <w:pPr>
        <w:rPr>
          <w:rFonts w:ascii="Times New Roman" w:hAnsi="Times New Roman" w:cs="Times New Roman"/>
          <w:sz w:val="24"/>
          <w:szCs w:val="24"/>
        </w:rPr>
      </w:pPr>
      <w:r>
        <w:rPr>
          <w:rFonts w:ascii="Times New Roman" w:hAnsi="Times New Roman" w:cs="Times New Roman"/>
          <w:b/>
          <w:bCs/>
          <w:sz w:val="24"/>
          <w:szCs w:val="24"/>
        </w:rPr>
        <w:t>Methods</w:t>
      </w:r>
      <w:r>
        <w:rPr>
          <w:rFonts w:ascii="Times New Roman" w:hAnsi="Times New Roman" w:cs="Times New Roman"/>
          <w:sz w:val="24"/>
          <w:szCs w:val="24"/>
        </w:rPr>
        <w:t xml:space="preserve">: Barriers to DERS compliance were identified through direct communication with the nursing staff. Barriers were analyzed in a pareto chart and two tests of change were implemented consecutively: update to the library maintenance process and implementation of a nurse auditing tool. </w:t>
      </w:r>
      <w:r>
        <w:rPr>
          <w:rFonts w:ascii="Times New Roman" w:eastAsia="Calibri" w:hAnsi="Times New Roman" w:cs="Times New Roman"/>
          <w:sz w:val="24"/>
          <w:szCs w:val="24"/>
        </w:rPr>
        <w:t>Data from the smart pump software were collected biweekly and analyzed in a run-chart to identify the impact of each test of change on DERS compliance.</w:t>
      </w:r>
    </w:p>
    <w:p w14:paraId="1703E478" w14:textId="77777777" w:rsidR="0007657F" w:rsidRDefault="0007657F" w:rsidP="0007657F">
      <w:pPr>
        <w:rPr>
          <w:rFonts w:ascii="Times New Roman" w:hAnsi="Times New Roman" w:cs="Times New Roman"/>
          <w:sz w:val="24"/>
          <w:szCs w:val="24"/>
        </w:rPr>
      </w:pPr>
      <w:r>
        <w:rPr>
          <w:rFonts w:ascii="Times New Roman" w:hAnsi="Times New Roman" w:cs="Times New Roman"/>
          <w:b/>
          <w:bCs/>
          <w:sz w:val="24"/>
          <w:szCs w:val="24"/>
        </w:rPr>
        <w:t>Results</w:t>
      </w:r>
      <w:r>
        <w:rPr>
          <w:rFonts w:ascii="Times New Roman" w:hAnsi="Times New Roman" w:cs="Times New Roman"/>
          <w:sz w:val="24"/>
          <w:szCs w:val="24"/>
        </w:rPr>
        <w:t>: Improving the library update process improved compliance from 79% to 86%. Implementation of a nurse auditing tool, however, led to fluctuating compliance.</w:t>
      </w:r>
    </w:p>
    <w:p w14:paraId="2C27BB86" w14:textId="0857470C" w:rsidR="002B0B4C" w:rsidRDefault="0007657F" w:rsidP="0007657F">
      <w:pPr>
        <w:rPr>
          <w:rFonts w:ascii="Times New Roman" w:eastAsia="Calibri" w:hAnsi="Times New Roman" w:cs="Times New Roman"/>
          <w:sz w:val="24"/>
          <w:szCs w:val="24"/>
        </w:rPr>
      </w:pPr>
      <w:r>
        <w:rPr>
          <w:rFonts w:ascii="Times New Roman" w:hAnsi="Times New Roman" w:cs="Times New Roman"/>
          <w:b/>
          <w:bCs/>
          <w:sz w:val="24"/>
          <w:szCs w:val="24"/>
        </w:rPr>
        <w:t>Conclusions</w:t>
      </w:r>
      <w:r>
        <w:rPr>
          <w:rFonts w:ascii="Times New Roman" w:hAnsi="Times New Roman" w:cs="Times New Roman"/>
          <w:sz w:val="24"/>
          <w:szCs w:val="24"/>
        </w:rPr>
        <w:t>: In order to achieve 95% compliance with DERS by July 2021, further tests of change are necessary.</w:t>
      </w:r>
      <w:r>
        <w:rPr>
          <w:rFonts w:ascii="Times New Roman" w:eastAsia="Calibri" w:hAnsi="Times New Roman" w:cs="Times New Roman"/>
          <w:sz w:val="24"/>
          <w:szCs w:val="24"/>
        </w:rPr>
        <w:t xml:space="preserve"> Subsequent cycles will address additional barriers such as limited reporting tools, lack of awareness of the importance of DERS use, and excessive alerts that discourage nurses from using DERS.</w:t>
      </w:r>
    </w:p>
    <w:p w14:paraId="174D3B07" w14:textId="08DE40B5" w:rsidR="0007657F" w:rsidRDefault="0007657F" w:rsidP="0007657F">
      <w:pPr>
        <w:rPr>
          <w:rFonts w:ascii="Times New Roman" w:eastAsia="Calibri" w:hAnsi="Times New Roman" w:cs="Times New Roman"/>
          <w:sz w:val="24"/>
          <w:szCs w:val="24"/>
        </w:rPr>
      </w:pPr>
    </w:p>
    <w:p w14:paraId="516505F7" w14:textId="2BA2C6FF" w:rsidR="0007657F" w:rsidRDefault="0007657F" w:rsidP="0007657F">
      <w:pPr>
        <w:rPr>
          <w:rFonts w:ascii="Times New Roman" w:eastAsia="Calibri" w:hAnsi="Times New Roman" w:cs="Times New Roman"/>
          <w:sz w:val="24"/>
          <w:szCs w:val="24"/>
        </w:rPr>
      </w:pPr>
    </w:p>
    <w:p w14:paraId="1EB8FE8E" w14:textId="3A0A3FDD" w:rsidR="0007657F" w:rsidRDefault="0007657F" w:rsidP="0007657F">
      <w:pPr>
        <w:rPr>
          <w:rFonts w:ascii="Times New Roman" w:eastAsia="Calibri" w:hAnsi="Times New Roman" w:cs="Times New Roman"/>
          <w:sz w:val="24"/>
          <w:szCs w:val="24"/>
        </w:rPr>
      </w:pPr>
    </w:p>
    <w:p w14:paraId="3640D68E" w14:textId="7073D42F" w:rsidR="0007657F" w:rsidRDefault="0007657F" w:rsidP="0007657F">
      <w:pPr>
        <w:rPr>
          <w:rFonts w:ascii="Times New Roman" w:eastAsia="Calibri" w:hAnsi="Times New Roman" w:cs="Times New Roman"/>
          <w:sz w:val="24"/>
          <w:szCs w:val="24"/>
        </w:rPr>
      </w:pPr>
    </w:p>
    <w:p w14:paraId="269FFDAC" w14:textId="588A9B57" w:rsidR="0007657F" w:rsidRDefault="0007657F" w:rsidP="0007657F">
      <w:pPr>
        <w:rPr>
          <w:rFonts w:ascii="Times New Roman" w:eastAsia="Calibri" w:hAnsi="Times New Roman" w:cs="Times New Roman"/>
          <w:sz w:val="24"/>
          <w:szCs w:val="24"/>
        </w:rPr>
      </w:pPr>
    </w:p>
    <w:p w14:paraId="5876343E" w14:textId="49BF0DFB" w:rsidR="0007657F" w:rsidRDefault="0007657F" w:rsidP="0007657F">
      <w:pPr>
        <w:rPr>
          <w:rFonts w:ascii="Times New Roman" w:eastAsia="Calibri" w:hAnsi="Times New Roman" w:cs="Times New Roman"/>
          <w:sz w:val="24"/>
          <w:szCs w:val="24"/>
        </w:rPr>
      </w:pPr>
    </w:p>
    <w:p w14:paraId="41883FC2" w14:textId="2302CCB2" w:rsidR="0007657F" w:rsidRDefault="0007657F" w:rsidP="0007657F">
      <w:pPr>
        <w:rPr>
          <w:rFonts w:ascii="Times New Roman" w:eastAsia="Calibri" w:hAnsi="Times New Roman" w:cs="Times New Roman"/>
          <w:sz w:val="24"/>
          <w:szCs w:val="24"/>
        </w:rPr>
      </w:pPr>
    </w:p>
    <w:p w14:paraId="3D738CA0" w14:textId="14E6A64D" w:rsidR="0007657F" w:rsidRDefault="0007657F" w:rsidP="0007657F">
      <w:pPr>
        <w:rPr>
          <w:rFonts w:ascii="Times New Roman" w:eastAsia="Calibri" w:hAnsi="Times New Roman" w:cs="Times New Roman"/>
          <w:sz w:val="24"/>
          <w:szCs w:val="24"/>
        </w:rPr>
      </w:pPr>
    </w:p>
    <w:p w14:paraId="6F869915" w14:textId="19ABB4EA" w:rsidR="0007657F" w:rsidRDefault="0007657F" w:rsidP="0007657F">
      <w:pPr>
        <w:rPr>
          <w:rFonts w:ascii="Times New Roman" w:eastAsia="Calibri" w:hAnsi="Times New Roman" w:cs="Times New Roman"/>
          <w:sz w:val="24"/>
          <w:szCs w:val="24"/>
        </w:rPr>
      </w:pPr>
    </w:p>
    <w:p w14:paraId="55508684" w14:textId="0D456AFF" w:rsidR="0007657F" w:rsidRDefault="0007657F" w:rsidP="0007657F">
      <w:pPr>
        <w:rPr>
          <w:rFonts w:ascii="Times New Roman" w:eastAsia="Calibri" w:hAnsi="Times New Roman" w:cs="Times New Roman"/>
          <w:sz w:val="24"/>
          <w:szCs w:val="24"/>
        </w:rPr>
      </w:pPr>
    </w:p>
    <w:p w14:paraId="59A445DE" w14:textId="77777777" w:rsidR="0007657F" w:rsidRDefault="0007657F" w:rsidP="0007657F">
      <w:pPr>
        <w:pStyle w:val="NormalWeb"/>
      </w:pPr>
      <w:r>
        <w:lastRenderedPageBreak/>
        <w:t xml:space="preserve">PROPHYLACTIC ENOXAPARIN IN TRAUMA PATIENTS: IDENTIFYING AN INITIAL DOSE </w:t>
      </w:r>
    </w:p>
    <w:p w14:paraId="0E1935C9" w14:textId="77777777" w:rsidR="0007657F" w:rsidRDefault="0007657F" w:rsidP="0007657F">
      <w:pPr>
        <w:pStyle w:val="NormalWeb"/>
      </w:pPr>
      <w:r>
        <w:rPr>
          <w:u w:val="single"/>
        </w:rPr>
        <w:t>Agedal K</w:t>
      </w:r>
      <w:r>
        <w:t xml:space="preserve">*, </w:t>
      </w:r>
      <w:r>
        <w:rPr>
          <w:u w:val="single"/>
        </w:rPr>
        <w:t>Feldman E</w:t>
      </w:r>
      <w:r>
        <w:t xml:space="preserve">, </w:t>
      </w:r>
      <w:r>
        <w:rPr>
          <w:u w:val="single"/>
        </w:rPr>
        <w:t>Seabury R</w:t>
      </w:r>
      <w:r>
        <w:t xml:space="preserve">, </w:t>
      </w:r>
      <w:r>
        <w:rPr>
          <w:u w:val="single"/>
        </w:rPr>
        <w:t>Darko W</w:t>
      </w:r>
      <w:r>
        <w:t xml:space="preserve">, </w:t>
      </w:r>
      <w:r>
        <w:rPr>
          <w:u w:val="single"/>
        </w:rPr>
        <w:t>Probst L</w:t>
      </w:r>
      <w:r>
        <w:t xml:space="preserve">, </w:t>
      </w:r>
      <w:r>
        <w:rPr>
          <w:u w:val="single"/>
        </w:rPr>
        <w:t>Miller C</w:t>
      </w:r>
      <w:r>
        <w:t xml:space="preserve">, </w:t>
      </w:r>
      <w:r>
        <w:rPr>
          <w:u w:val="single"/>
        </w:rPr>
        <w:t>Cwikla G</w:t>
      </w:r>
    </w:p>
    <w:p w14:paraId="78311537" w14:textId="77777777" w:rsidR="0007657F" w:rsidRDefault="0007657F" w:rsidP="0007657F">
      <w:pPr>
        <w:pStyle w:val="NormalWeb"/>
      </w:pPr>
      <w:r>
        <w:t>SUNY Upstate University Hospital, 750 East Adams Street, Syracuse, NY 13210</w:t>
      </w:r>
    </w:p>
    <w:p w14:paraId="0E07DDD6" w14:textId="77777777" w:rsidR="0007657F" w:rsidRDefault="0007657F" w:rsidP="0007657F">
      <w:pPr>
        <w:pStyle w:val="NormalWeb"/>
      </w:pPr>
    </w:p>
    <w:p w14:paraId="5ED62226" w14:textId="77777777" w:rsidR="0007657F" w:rsidRDefault="0007657F" w:rsidP="0007657F">
      <w:pPr>
        <w:pStyle w:val="NormalWeb"/>
      </w:pPr>
      <w:r>
        <w:rPr>
          <w:b/>
          <w:bCs/>
        </w:rPr>
        <w:t>Background</w:t>
      </w:r>
      <w:r>
        <w:t xml:space="preserve">: Trauma patients are at increased risk for developing a venous thromboembolism due to alterations in the coagulation cascade. Concerns for decreased enoxaparin bioavailability and augmented renal clearance in this patient population is supported by recent evidence that suggests higher enoxaparin doses may be required. Enoxaparin 30 mg subcutaneously twice daily adjusted based on </w:t>
      </w:r>
      <w:r>
        <w:rPr>
          <w:color w:val="000000" w:themeColor="text1"/>
        </w:rPr>
        <w:t>anti-factor Xa (AFXa</w:t>
      </w:r>
      <w:r>
        <w:t xml:space="preserve">) trough levels is a regimen commonly initiated in trauma patients. The AFXa trough goal in this population ranges from 0.1 to 0.2 IU/mL. This study was conducted to further investigate the dosing conundrum. </w:t>
      </w:r>
    </w:p>
    <w:p w14:paraId="57E8E99D" w14:textId="77777777" w:rsidR="0007657F" w:rsidRDefault="0007657F" w:rsidP="0007657F">
      <w:pPr>
        <w:rPr>
          <w:rFonts w:ascii="Times New Roman" w:hAnsi="Times New Roman" w:cs="Times New Roman"/>
          <w:color w:val="000000" w:themeColor="text1"/>
        </w:rPr>
      </w:pPr>
      <w:r>
        <w:rPr>
          <w:rFonts w:ascii="Times New Roman" w:hAnsi="Times New Roman" w:cs="Times New Roman"/>
          <w:b/>
          <w:bCs/>
        </w:rPr>
        <w:t>Objective</w:t>
      </w:r>
      <w:r>
        <w:rPr>
          <w:rFonts w:ascii="Times New Roman" w:hAnsi="Times New Roman" w:cs="Times New Roman"/>
        </w:rPr>
        <w:t xml:space="preserve">: </w:t>
      </w:r>
      <w:r>
        <w:rPr>
          <w:rFonts w:ascii="Times New Roman" w:hAnsi="Times New Roman" w:cs="Times New Roman"/>
          <w:color w:val="000000"/>
        </w:rPr>
        <w:t xml:space="preserve">The purpose of this study was </w:t>
      </w:r>
      <w:r>
        <w:rPr>
          <w:rFonts w:ascii="Times New Roman" w:hAnsi="Times New Roman" w:cs="Times New Roman"/>
          <w:color w:val="000000" w:themeColor="text1"/>
        </w:rPr>
        <w:t>to identify the frequency of critically ill trauma patients who required a standard prophylactic enoxaparin dose of 30 mg subcutaneously twice daily to achieve AFXa trough levels between 0.1 to 0.2 IU/mL and to identify patient characteristics that may have influenced this dosing regimen.</w:t>
      </w:r>
    </w:p>
    <w:p w14:paraId="1D5715C3" w14:textId="77777777" w:rsidR="0007657F" w:rsidRDefault="0007657F" w:rsidP="0007657F">
      <w:pPr>
        <w:rPr>
          <w:rFonts w:ascii="Times New Roman" w:hAnsi="Times New Roman" w:cs="Times New Roman"/>
          <w:color w:val="000000" w:themeColor="text1"/>
        </w:rPr>
      </w:pPr>
    </w:p>
    <w:p w14:paraId="30EA98A2" w14:textId="77777777" w:rsidR="0007657F" w:rsidRDefault="0007657F" w:rsidP="0007657F">
      <w:pPr>
        <w:rPr>
          <w:rFonts w:ascii="Times New Roman" w:hAnsi="Times New Roman" w:cs="Times New Roman"/>
          <w:sz w:val="24"/>
          <w:szCs w:val="24"/>
        </w:rPr>
      </w:pPr>
      <w:r>
        <w:rPr>
          <w:rFonts w:ascii="Times New Roman" w:hAnsi="Times New Roman" w:cs="Times New Roman"/>
          <w:b/>
          <w:bCs/>
        </w:rPr>
        <w:t>Methods</w:t>
      </w:r>
      <w:r>
        <w:rPr>
          <w:rFonts w:ascii="Times New Roman" w:hAnsi="Times New Roman" w:cs="Times New Roman"/>
        </w:rPr>
        <w:t>: This was a retrospective, single-center, descriptive cohort study that was exempt from review by our Institutional Review Board. Adult patients admitted to the surgical intensive care unit secondary to trauma who received prophylactic enoxaparin monitored by AFXa trough levels were included. Patient demographics and clinical data were collected.</w:t>
      </w:r>
    </w:p>
    <w:p w14:paraId="32EE3A92" w14:textId="77777777" w:rsidR="0007657F" w:rsidRDefault="0007657F" w:rsidP="0007657F">
      <w:pPr>
        <w:pStyle w:val="NormalWeb"/>
      </w:pPr>
      <w:r>
        <w:rPr>
          <w:b/>
          <w:bCs/>
        </w:rPr>
        <w:t xml:space="preserve">Results: </w:t>
      </w:r>
      <w:r>
        <w:t xml:space="preserve">Of the 76 patients included thus far, 15.8% (n = 12) have obtained a therapeutic AFXa trough level on standard prophylactic enoxaparin dosing. </w:t>
      </w:r>
    </w:p>
    <w:p w14:paraId="7849C3F5" w14:textId="77777777" w:rsidR="0007657F" w:rsidRDefault="0007657F" w:rsidP="0007657F">
      <w:pPr>
        <w:pStyle w:val="NormalWeb"/>
      </w:pPr>
      <w:r>
        <w:rPr>
          <w:b/>
          <w:bCs/>
        </w:rPr>
        <w:t>Conclusions</w:t>
      </w:r>
      <w:r>
        <w:t xml:space="preserve">: Data collection/analysis are currently ongoing. Final results will be presented at the Residency Research and Practice Forum in May 2021.  </w:t>
      </w:r>
    </w:p>
    <w:p w14:paraId="3B266179" w14:textId="38AA9BBD" w:rsidR="0007657F" w:rsidRDefault="0007657F" w:rsidP="0007657F">
      <w:pPr>
        <w:rPr>
          <w:rFonts w:ascii="Times New Roman" w:eastAsia="Calibri" w:hAnsi="Times New Roman" w:cs="Times New Roman"/>
          <w:sz w:val="24"/>
          <w:szCs w:val="24"/>
        </w:rPr>
      </w:pPr>
    </w:p>
    <w:p w14:paraId="04256660" w14:textId="29D513A5" w:rsidR="0007657F" w:rsidRDefault="0007657F" w:rsidP="0007657F">
      <w:pPr>
        <w:rPr>
          <w:rFonts w:ascii="Times New Roman" w:eastAsia="Calibri" w:hAnsi="Times New Roman" w:cs="Times New Roman"/>
          <w:sz w:val="24"/>
          <w:szCs w:val="24"/>
        </w:rPr>
      </w:pPr>
    </w:p>
    <w:p w14:paraId="6E5F5F34" w14:textId="5BD44BEB" w:rsidR="0007657F" w:rsidRDefault="0007657F" w:rsidP="0007657F">
      <w:pPr>
        <w:rPr>
          <w:rFonts w:ascii="Times New Roman" w:eastAsia="Calibri" w:hAnsi="Times New Roman" w:cs="Times New Roman"/>
          <w:sz w:val="24"/>
          <w:szCs w:val="24"/>
        </w:rPr>
      </w:pPr>
    </w:p>
    <w:p w14:paraId="7A71644A" w14:textId="6B2156A1" w:rsidR="0007657F" w:rsidRDefault="0007657F" w:rsidP="0007657F">
      <w:pPr>
        <w:rPr>
          <w:rFonts w:ascii="Times New Roman" w:eastAsia="Calibri" w:hAnsi="Times New Roman" w:cs="Times New Roman"/>
          <w:sz w:val="24"/>
          <w:szCs w:val="24"/>
        </w:rPr>
      </w:pPr>
    </w:p>
    <w:p w14:paraId="7905401E" w14:textId="5979B2D0" w:rsidR="0007657F" w:rsidRDefault="0007657F" w:rsidP="0007657F">
      <w:pPr>
        <w:rPr>
          <w:rFonts w:ascii="Times New Roman" w:eastAsia="Calibri" w:hAnsi="Times New Roman" w:cs="Times New Roman"/>
          <w:sz w:val="24"/>
          <w:szCs w:val="24"/>
        </w:rPr>
      </w:pPr>
    </w:p>
    <w:p w14:paraId="2CCDAF67" w14:textId="69CED416" w:rsidR="0007657F" w:rsidRDefault="0007657F" w:rsidP="0007657F">
      <w:pPr>
        <w:rPr>
          <w:rFonts w:ascii="Times New Roman" w:eastAsia="Calibri" w:hAnsi="Times New Roman" w:cs="Times New Roman"/>
          <w:sz w:val="24"/>
          <w:szCs w:val="24"/>
        </w:rPr>
      </w:pPr>
    </w:p>
    <w:p w14:paraId="3EAB4FBF" w14:textId="4D1F209D" w:rsidR="0007657F" w:rsidRDefault="0007657F" w:rsidP="0007657F">
      <w:pPr>
        <w:rPr>
          <w:rFonts w:ascii="Times New Roman" w:eastAsia="Calibri" w:hAnsi="Times New Roman" w:cs="Times New Roman"/>
          <w:sz w:val="24"/>
          <w:szCs w:val="24"/>
        </w:rPr>
      </w:pPr>
    </w:p>
    <w:p w14:paraId="1B33FC34" w14:textId="345F21F8" w:rsidR="0007657F" w:rsidRDefault="0007657F" w:rsidP="0007657F">
      <w:pPr>
        <w:rPr>
          <w:rFonts w:ascii="Times New Roman" w:eastAsia="Calibri" w:hAnsi="Times New Roman" w:cs="Times New Roman"/>
          <w:sz w:val="24"/>
          <w:szCs w:val="24"/>
        </w:rPr>
      </w:pPr>
    </w:p>
    <w:p w14:paraId="4B77734D" w14:textId="77777777" w:rsidR="0007657F" w:rsidRDefault="0007657F" w:rsidP="0007657F">
      <w:pPr>
        <w:rPr>
          <w:rFonts w:ascii="Times New Roman" w:hAnsi="Times New Roman" w:cs="Times New Roman"/>
          <w:sz w:val="24"/>
          <w:szCs w:val="24"/>
        </w:rPr>
      </w:pPr>
      <w:r>
        <w:rPr>
          <w:rFonts w:ascii="Times New Roman" w:hAnsi="Times New Roman" w:cs="Times New Roman"/>
          <w:sz w:val="24"/>
          <w:szCs w:val="24"/>
        </w:rPr>
        <w:lastRenderedPageBreak/>
        <w:t>RETROSPECTIVE REVIEW OF POST-OPERATIVE OPIOID REDUCTION SECONDARY TO PRE-OPERATIVE GABAPENTIN USE IN PATIENTS UNDERGOING BARIATRIC SURGERY</w:t>
      </w:r>
    </w:p>
    <w:p w14:paraId="408F2B7C" w14:textId="77777777" w:rsidR="0007657F" w:rsidRDefault="0007657F" w:rsidP="0007657F">
      <w:pPr>
        <w:rPr>
          <w:rFonts w:ascii="Times New Roman" w:hAnsi="Times New Roman" w:cs="Times New Roman"/>
          <w:sz w:val="24"/>
          <w:szCs w:val="24"/>
        </w:rPr>
      </w:pPr>
    </w:p>
    <w:p w14:paraId="4F841E12" w14:textId="77777777" w:rsidR="0007657F" w:rsidRDefault="0007657F" w:rsidP="0007657F">
      <w:pPr>
        <w:rPr>
          <w:rFonts w:ascii="Times New Roman" w:hAnsi="Times New Roman" w:cs="Times New Roman"/>
          <w:sz w:val="24"/>
          <w:szCs w:val="24"/>
        </w:rPr>
      </w:pPr>
      <w:r>
        <w:rPr>
          <w:rFonts w:ascii="Times New Roman" w:hAnsi="Times New Roman" w:cs="Times New Roman"/>
          <w:sz w:val="24"/>
          <w:szCs w:val="24"/>
        </w:rPr>
        <w:t>Andrew R*, Shelley J, Turello B, Wojciechowski A</w:t>
      </w:r>
    </w:p>
    <w:p w14:paraId="1A827334" w14:textId="77777777" w:rsidR="0007657F" w:rsidRDefault="0007657F" w:rsidP="0007657F">
      <w:pPr>
        <w:rPr>
          <w:rFonts w:ascii="Times New Roman" w:hAnsi="Times New Roman" w:cs="Times New Roman"/>
          <w:sz w:val="24"/>
          <w:szCs w:val="24"/>
        </w:rPr>
      </w:pPr>
    </w:p>
    <w:p w14:paraId="198A637D" w14:textId="77777777" w:rsidR="0007657F" w:rsidRDefault="0007657F" w:rsidP="0007657F">
      <w:pPr>
        <w:rPr>
          <w:rFonts w:ascii="Times New Roman" w:hAnsi="Times New Roman" w:cs="Times New Roman"/>
          <w:sz w:val="24"/>
          <w:szCs w:val="24"/>
        </w:rPr>
      </w:pPr>
      <w:r>
        <w:rPr>
          <w:rFonts w:ascii="Times New Roman" w:hAnsi="Times New Roman" w:cs="Times New Roman"/>
          <w:sz w:val="24"/>
          <w:szCs w:val="24"/>
        </w:rPr>
        <w:t>Niagara Falls Memorial Medical Center, 621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Street, Niagara Falls, NY 14301</w:t>
      </w:r>
    </w:p>
    <w:p w14:paraId="6D1784D4" w14:textId="77777777" w:rsidR="0007657F" w:rsidRDefault="0007657F" w:rsidP="0007657F">
      <w:pPr>
        <w:rPr>
          <w:rFonts w:ascii="Times New Roman" w:hAnsi="Times New Roman" w:cs="Times New Roman"/>
          <w:sz w:val="24"/>
          <w:szCs w:val="24"/>
        </w:rPr>
      </w:pPr>
    </w:p>
    <w:p w14:paraId="3A4FB1BA" w14:textId="77777777" w:rsidR="0007657F" w:rsidRDefault="0007657F" w:rsidP="0007657F">
      <w:pPr>
        <w:rPr>
          <w:rFonts w:ascii="Times New Roman" w:hAnsi="Times New Roman" w:cs="Times New Roman"/>
          <w:sz w:val="24"/>
          <w:szCs w:val="24"/>
        </w:rPr>
      </w:pPr>
      <w:r>
        <w:rPr>
          <w:rFonts w:ascii="Times New Roman" w:hAnsi="Times New Roman" w:cs="Times New Roman"/>
          <w:b/>
          <w:bCs/>
          <w:sz w:val="24"/>
          <w:szCs w:val="24"/>
        </w:rPr>
        <w:t>Background</w:t>
      </w:r>
      <w:r>
        <w:rPr>
          <w:rFonts w:ascii="Times New Roman" w:hAnsi="Times New Roman" w:cs="Times New Roman"/>
          <w:sz w:val="24"/>
          <w:szCs w:val="24"/>
        </w:rPr>
        <w:t xml:space="preserve">: Utilizing gabapentinoids perioperatively has been shown to reduce the number of opioids needed in the post-operative setting. While opioids are a common pain management strategy in the pre-operative and post-operative settings, further evaluation is needed to limit opioid consumption given the current opioid abuse epidemic. With the increasing popularity of bariatric surgeries, developing pain management strategies to reduce opioid consumption is crucial. This </w:t>
      </w:r>
      <w:r>
        <w:rPr>
          <w:rFonts w:ascii="Times New Roman" w:hAnsi="Times New Roman" w:cs="Times New Roman"/>
          <w:bCs/>
          <w:sz w:val="24"/>
          <w:szCs w:val="24"/>
        </w:rPr>
        <w:t>study aims to further evaluate the use of gabapentin pre-operatively in patients undergoing different forms of bariatric surgery and its associated opioid use post-operatively.</w:t>
      </w:r>
    </w:p>
    <w:p w14:paraId="1E61F807" w14:textId="77777777" w:rsidR="0007657F" w:rsidRDefault="0007657F" w:rsidP="0007657F">
      <w:pPr>
        <w:rPr>
          <w:rFonts w:ascii="Times New Roman" w:hAnsi="Times New Roman" w:cs="Times New Roman"/>
          <w:sz w:val="24"/>
          <w:szCs w:val="24"/>
        </w:rPr>
      </w:pPr>
    </w:p>
    <w:p w14:paraId="2F74D4A6" w14:textId="77777777" w:rsidR="0007657F" w:rsidRDefault="0007657F" w:rsidP="0007657F">
      <w:pPr>
        <w:rPr>
          <w:rFonts w:ascii="Times New Roman" w:hAnsi="Times New Roman" w:cs="Times New Roman"/>
          <w:sz w:val="24"/>
          <w:szCs w:val="24"/>
        </w:rPr>
      </w:pPr>
      <w:r>
        <w:rPr>
          <w:rFonts w:ascii="Times New Roman" w:hAnsi="Times New Roman" w:cs="Times New Roman"/>
          <w:b/>
          <w:bCs/>
          <w:sz w:val="24"/>
          <w:szCs w:val="24"/>
        </w:rPr>
        <w:t>Objective</w:t>
      </w:r>
      <w:r>
        <w:rPr>
          <w:rFonts w:ascii="Times New Roman" w:hAnsi="Times New Roman" w:cs="Times New Roman"/>
          <w:sz w:val="24"/>
          <w:szCs w:val="24"/>
        </w:rPr>
        <w:t>: The primary outcome is the effect gabapentin has on total morphine milligram equivalents (MME) post-operatively in bariatric surgery patients.</w:t>
      </w:r>
    </w:p>
    <w:p w14:paraId="300EAF4F" w14:textId="77777777" w:rsidR="0007657F" w:rsidRDefault="0007657F" w:rsidP="0007657F">
      <w:pPr>
        <w:rPr>
          <w:rFonts w:ascii="Times New Roman" w:hAnsi="Times New Roman" w:cs="Times New Roman"/>
          <w:sz w:val="24"/>
          <w:szCs w:val="24"/>
        </w:rPr>
      </w:pPr>
    </w:p>
    <w:p w14:paraId="3E683CB8" w14:textId="77777777" w:rsidR="0007657F" w:rsidRDefault="0007657F" w:rsidP="0007657F">
      <w:pPr>
        <w:rPr>
          <w:rFonts w:ascii="Times New Roman" w:hAnsi="Times New Roman" w:cs="Times New Roman"/>
          <w:sz w:val="24"/>
          <w:szCs w:val="24"/>
        </w:rPr>
      </w:pPr>
      <w:r>
        <w:rPr>
          <w:rFonts w:ascii="Times New Roman" w:hAnsi="Times New Roman" w:cs="Times New Roman"/>
          <w:b/>
          <w:bCs/>
          <w:sz w:val="24"/>
          <w:szCs w:val="24"/>
        </w:rPr>
        <w:t>Methods</w:t>
      </w:r>
      <w:r>
        <w:rPr>
          <w:rFonts w:ascii="Times New Roman" w:hAnsi="Times New Roman" w:cs="Times New Roman"/>
          <w:sz w:val="24"/>
          <w:szCs w:val="24"/>
        </w:rPr>
        <w:t xml:space="preserve">: This was a single-center, retrospective chart review that compared MME in patients who received at least one dose of gabapentin pre-operatively versus those who did not. Data was collected between 01/01/2018 to 12/31/2020. Patients were matched based on age, gender, race, allergy, and type of bariatric surgery received. </w:t>
      </w:r>
    </w:p>
    <w:p w14:paraId="3FEE4293" w14:textId="77777777" w:rsidR="0007657F" w:rsidRDefault="0007657F" w:rsidP="0007657F">
      <w:pPr>
        <w:rPr>
          <w:rFonts w:ascii="Times New Roman" w:hAnsi="Times New Roman" w:cs="Times New Roman"/>
          <w:sz w:val="24"/>
          <w:szCs w:val="24"/>
        </w:rPr>
      </w:pPr>
    </w:p>
    <w:p w14:paraId="327CD22D" w14:textId="77777777" w:rsidR="0007657F" w:rsidRDefault="0007657F" w:rsidP="0007657F">
      <w:pPr>
        <w:rPr>
          <w:rFonts w:ascii="Times New Roman" w:hAnsi="Times New Roman" w:cs="Times New Roman"/>
          <w:sz w:val="24"/>
          <w:szCs w:val="24"/>
        </w:rPr>
      </w:pPr>
      <w:r>
        <w:rPr>
          <w:rFonts w:ascii="Times New Roman" w:hAnsi="Times New Roman" w:cs="Times New Roman"/>
          <w:b/>
          <w:bCs/>
          <w:sz w:val="24"/>
          <w:szCs w:val="24"/>
        </w:rPr>
        <w:t>Results</w:t>
      </w:r>
      <w:r>
        <w:rPr>
          <w:rFonts w:ascii="Times New Roman" w:hAnsi="Times New Roman" w:cs="Times New Roman"/>
          <w:sz w:val="24"/>
          <w:szCs w:val="24"/>
        </w:rPr>
        <w:t xml:space="preserve">: A total of 180 patients were identified during this period. 151 patients met inclusion criteria, with 48 patients receiving at least a single dose of gabapentin pre-operatively and 103 patients who did not. Mean MME in those who received gabapentin was 23.46 compared to 32.1 in those who did not receive gabapentin (p = 0.0309). </w:t>
      </w:r>
    </w:p>
    <w:p w14:paraId="7997DAD7" w14:textId="77777777" w:rsidR="0007657F" w:rsidRDefault="0007657F" w:rsidP="0007657F">
      <w:pPr>
        <w:rPr>
          <w:rFonts w:ascii="Times New Roman" w:hAnsi="Times New Roman" w:cs="Times New Roman"/>
          <w:sz w:val="24"/>
          <w:szCs w:val="24"/>
        </w:rPr>
      </w:pPr>
    </w:p>
    <w:p w14:paraId="51B369C8" w14:textId="77777777" w:rsidR="0007657F" w:rsidRDefault="0007657F" w:rsidP="0007657F">
      <w:pPr>
        <w:rPr>
          <w:rFonts w:ascii="Times New Roman" w:hAnsi="Times New Roman" w:cs="Times New Roman"/>
          <w:sz w:val="24"/>
          <w:szCs w:val="24"/>
        </w:rPr>
      </w:pPr>
      <w:r>
        <w:rPr>
          <w:rFonts w:ascii="Times New Roman" w:hAnsi="Times New Roman" w:cs="Times New Roman"/>
          <w:b/>
          <w:bCs/>
          <w:sz w:val="24"/>
          <w:szCs w:val="24"/>
        </w:rPr>
        <w:t>Conclusions</w:t>
      </w:r>
      <w:r>
        <w:rPr>
          <w:rFonts w:ascii="Times New Roman" w:hAnsi="Times New Roman" w:cs="Times New Roman"/>
          <w:sz w:val="24"/>
          <w:szCs w:val="24"/>
        </w:rPr>
        <w:t>: Utilizing gabapentin pre-operatively may reduce the need for opioids post-operatively in patients undergoing bariatric surgery.</w:t>
      </w:r>
    </w:p>
    <w:p w14:paraId="6AEE0B46" w14:textId="77777777" w:rsidR="0007657F" w:rsidRDefault="0007657F" w:rsidP="0007657F">
      <w:pPr>
        <w:rPr>
          <w:rFonts w:ascii="Times New Roman" w:hAnsi="Times New Roman" w:cs="Times New Roman"/>
          <w:sz w:val="24"/>
          <w:szCs w:val="24"/>
        </w:rPr>
      </w:pPr>
    </w:p>
    <w:p w14:paraId="493372AB" w14:textId="77777777" w:rsidR="0007657F" w:rsidRDefault="0007657F" w:rsidP="0007657F">
      <w:pPr>
        <w:rPr>
          <w:rFonts w:ascii="Times New Roman" w:hAnsi="Times New Roman" w:cs="Times New Roman"/>
          <w:sz w:val="24"/>
          <w:szCs w:val="24"/>
        </w:rPr>
      </w:pPr>
    </w:p>
    <w:p w14:paraId="44CAF949" w14:textId="39CA3B2A" w:rsidR="0007657F" w:rsidRDefault="0007657F" w:rsidP="0007657F">
      <w:pPr>
        <w:rPr>
          <w:rFonts w:ascii="Times New Roman" w:eastAsia="Calibri" w:hAnsi="Times New Roman" w:cs="Times New Roman"/>
          <w:sz w:val="24"/>
          <w:szCs w:val="24"/>
        </w:rPr>
      </w:pPr>
    </w:p>
    <w:p w14:paraId="6C8CA37A" w14:textId="77777777" w:rsidR="0007657F" w:rsidRDefault="0007657F" w:rsidP="0007657F">
      <w:pPr>
        <w:rPr>
          <w:rFonts w:ascii="Times New Roman" w:hAnsi="Times New Roman" w:cs="Times New Roman"/>
          <w:caps/>
          <w:sz w:val="24"/>
          <w:szCs w:val="24"/>
        </w:rPr>
      </w:pPr>
      <w:r>
        <w:rPr>
          <w:rFonts w:ascii="Times New Roman" w:hAnsi="Times New Roman" w:cs="Times New Roman"/>
          <w:caps/>
          <w:sz w:val="24"/>
          <w:szCs w:val="24"/>
        </w:rPr>
        <w:lastRenderedPageBreak/>
        <w:t>Reducing opioid use in bariatric surgery at an acute care medical center</w:t>
      </w:r>
    </w:p>
    <w:p w14:paraId="6A685F4D" w14:textId="77777777" w:rsidR="0007657F" w:rsidRDefault="0007657F" w:rsidP="0007657F">
      <w:pPr>
        <w:rPr>
          <w:rFonts w:ascii="Times New Roman" w:hAnsi="Times New Roman" w:cs="Times New Roman"/>
          <w:sz w:val="24"/>
          <w:szCs w:val="24"/>
        </w:rPr>
      </w:pPr>
      <w:r>
        <w:rPr>
          <w:rFonts w:ascii="Times New Roman" w:hAnsi="Times New Roman" w:cs="Times New Roman"/>
          <w:sz w:val="24"/>
          <w:szCs w:val="24"/>
          <w:u w:val="single"/>
        </w:rPr>
        <w:t>Appiah</w:t>
      </w:r>
      <w:r>
        <w:rPr>
          <w:rFonts w:ascii="Times New Roman" w:hAnsi="Times New Roman" w:cs="Times New Roman"/>
          <w:sz w:val="24"/>
          <w:szCs w:val="24"/>
        </w:rPr>
        <w:t xml:space="preserve"> </w:t>
      </w:r>
      <w:r>
        <w:rPr>
          <w:rFonts w:ascii="Times New Roman" w:hAnsi="Times New Roman" w:cs="Times New Roman"/>
          <w:sz w:val="24"/>
          <w:szCs w:val="24"/>
          <w:u w:val="single"/>
        </w:rPr>
        <w:t>D</w:t>
      </w:r>
      <w:r>
        <w:rPr>
          <w:rFonts w:ascii="Times New Roman" w:hAnsi="Times New Roman" w:cs="Times New Roman"/>
          <w:sz w:val="24"/>
          <w:szCs w:val="24"/>
        </w:rPr>
        <w:t xml:space="preserve">*, </w:t>
      </w:r>
      <w:r>
        <w:rPr>
          <w:rFonts w:ascii="Times New Roman" w:hAnsi="Times New Roman" w:cs="Times New Roman"/>
          <w:sz w:val="24"/>
          <w:szCs w:val="24"/>
          <w:u w:val="single"/>
        </w:rPr>
        <w:t>Goriacko</w:t>
      </w:r>
      <w:r>
        <w:rPr>
          <w:rFonts w:ascii="Times New Roman" w:hAnsi="Times New Roman" w:cs="Times New Roman"/>
          <w:sz w:val="24"/>
          <w:szCs w:val="24"/>
        </w:rPr>
        <w:t xml:space="preserve"> </w:t>
      </w:r>
      <w:r>
        <w:rPr>
          <w:rFonts w:ascii="Times New Roman" w:hAnsi="Times New Roman" w:cs="Times New Roman"/>
          <w:sz w:val="24"/>
          <w:szCs w:val="24"/>
          <w:u w:val="single"/>
        </w:rPr>
        <w:t>P</w:t>
      </w:r>
      <w:r>
        <w:rPr>
          <w:rFonts w:ascii="Times New Roman" w:hAnsi="Times New Roman" w:cs="Times New Roman"/>
          <w:sz w:val="24"/>
          <w:szCs w:val="24"/>
        </w:rPr>
        <w:t xml:space="preserve">, </w:t>
      </w:r>
      <w:r>
        <w:rPr>
          <w:rFonts w:ascii="Times New Roman" w:hAnsi="Times New Roman" w:cs="Times New Roman"/>
          <w:sz w:val="24"/>
          <w:szCs w:val="24"/>
          <w:u w:val="single"/>
        </w:rPr>
        <w:t>Shukla</w:t>
      </w:r>
      <w:r>
        <w:rPr>
          <w:rFonts w:ascii="Times New Roman" w:hAnsi="Times New Roman" w:cs="Times New Roman"/>
          <w:sz w:val="24"/>
          <w:szCs w:val="24"/>
        </w:rPr>
        <w:t xml:space="preserve"> </w:t>
      </w:r>
      <w:r>
        <w:rPr>
          <w:rFonts w:ascii="Times New Roman" w:hAnsi="Times New Roman" w:cs="Times New Roman"/>
          <w:sz w:val="24"/>
          <w:szCs w:val="24"/>
          <w:u w:val="single"/>
        </w:rPr>
        <w:t>H</w:t>
      </w:r>
      <w:r>
        <w:rPr>
          <w:rFonts w:ascii="Times New Roman" w:hAnsi="Times New Roman" w:cs="Times New Roman"/>
          <w:sz w:val="24"/>
          <w:szCs w:val="24"/>
        </w:rPr>
        <w:t xml:space="preserve">, </w:t>
      </w:r>
      <w:r>
        <w:rPr>
          <w:rFonts w:ascii="Times New Roman" w:hAnsi="Times New Roman" w:cs="Times New Roman"/>
          <w:sz w:val="24"/>
          <w:szCs w:val="24"/>
          <w:u w:val="single"/>
        </w:rPr>
        <w:t>Choi</w:t>
      </w:r>
      <w:r>
        <w:rPr>
          <w:rFonts w:ascii="Times New Roman" w:hAnsi="Times New Roman" w:cs="Times New Roman"/>
          <w:sz w:val="24"/>
          <w:szCs w:val="24"/>
        </w:rPr>
        <w:t xml:space="preserve"> </w:t>
      </w:r>
      <w:r>
        <w:rPr>
          <w:rFonts w:ascii="Times New Roman" w:hAnsi="Times New Roman" w:cs="Times New Roman"/>
          <w:sz w:val="24"/>
          <w:szCs w:val="24"/>
          <w:u w:val="single"/>
        </w:rPr>
        <w:t>J</w:t>
      </w:r>
      <w:r>
        <w:rPr>
          <w:rFonts w:ascii="Times New Roman" w:hAnsi="Times New Roman" w:cs="Times New Roman"/>
          <w:sz w:val="24"/>
          <w:szCs w:val="24"/>
        </w:rPr>
        <w:t xml:space="preserve">, </w:t>
      </w:r>
      <w:r>
        <w:rPr>
          <w:rFonts w:ascii="Times New Roman" w:hAnsi="Times New Roman" w:cs="Times New Roman"/>
          <w:sz w:val="24"/>
          <w:szCs w:val="24"/>
          <w:u w:val="single"/>
        </w:rPr>
        <w:t>Choi</w:t>
      </w:r>
      <w:r>
        <w:rPr>
          <w:rFonts w:ascii="Times New Roman" w:hAnsi="Times New Roman" w:cs="Times New Roman"/>
          <w:sz w:val="24"/>
          <w:szCs w:val="24"/>
        </w:rPr>
        <w:t xml:space="preserve"> </w:t>
      </w:r>
      <w:r>
        <w:rPr>
          <w:rFonts w:ascii="Times New Roman" w:hAnsi="Times New Roman" w:cs="Times New Roman"/>
          <w:sz w:val="24"/>
          <w:szCs w:val="24"/>
          <w:u w:val="single"/>
        </w:rPr>
        <w:t>M</w:t>
      </w:r>
      <w:r>
        <w:rPr>
          <w:rFonts w:ascii="Times New Roman" w:hAnsi="Times New Roman" w:cs="Times New Roman"/>
          <w:sz w:val="24"/>
          <w:szCs w:val="24"/>
        </w:rPr>
        <w:t xml:space="preserve">, </w:t>
      </w:r>
      <w:r>
        <w:rPr>
          <w:rFonts w:ascii="Times New Roman" w:hAnsi="Times New Roman" w:cs="Times New Roman"/>
          <w:sz w:val="24"/>
          <w:szCs w:val="24"/>
          <w:u w:val="single"/>
        </w:rPr>
        <w:t>Moguilevitch</w:t>
      </w:r>
      <w:r>
        <w:rPr>
          <w:rFonts w:ascii="Times New Roman" w:hAnsi="Times New Roman" w:cs="Times New Roman"/>
          <w:sz w:val="24"/>
          <w:szCs w:val="24"/>
        </w:rPr>
        <w:t xml:space="preserve"> </w:t>
      </w:r>
      <w:r>
        <w:rPr>
          <w:rFonts w:ascii="Times New Roman" w:hAnsi="Times New Roman" w:cs="Times New Roman"/>
          <w:sz w:val="24"/>
          <w:szCs w:val="24"/>
          <w:u w:val="single"/>
        </w:rPr>
        <w:t>M</w:t>
      </w:r>
      <w:r>
        <w:rPr>
          <w:rFonts w:ascii="Times New Roman" w:hAnsi="Times New Roman" w:cs="Times New Roman"/>
          <w:sz w:val="24"/>
          <w:szCs w:val="24"/>
        </w:rPr>
        <w:t xml:space="preserve">, </w:t>
      </w:r>
      <w:r>
        <w:rPr>
          <w:rFonts w:ascii="Times New Roman" w:hAnsi="Times New Roman" w:cs="Times New Roman"/>
          <w:sz w:val="24"/>
          <w:szCs w:val="24"/>
          <w:u w:val="single"/>
        </w:rPr>
        <w:t>Yaghdjian</w:t>
      </w:r>
      <w:r>
        <w:rPr>
          <w:rFonts w:ascii="Times New Roman" w:hAnsi="Times New Roman" w:cs="Times New Roman"/>
          <w:sz w:val="24"/>
          <w:szCs w:val="24"/>
        </w:rPr>
        <w:t xml:space="preserve"> </w:t>
      </w:r>
      <w:r>
        <w:rPr>
          <w:rFonts w:ascii="Times New Roman" w:hAnsi="Times New Roman" w:cs="Times New Roman"/>
          <w:sz w:val="24"/>
          <w:szCs w:val="24"/>
          <w:u w:val="single"/>
        </w:rPr>
        <w:t>V</w:t>
      </w:r>
    </w:p>
    <w:p w14:paraId="411D0109" w14:textId="77777777" w:rsidR="0007657F" w:rsidRDefault="0007657F" w:rsidP="0007657F">
      <w:pPr>
        <w:pStyle w:val="NoSpacing"/>
        <w:rPr>
          <w:rFonts w:ascii="Times New Roman" w:hAnsi="Times New Roman" w:cs="Times New Roman"/>
          <w:sz w:val="24"/>
          <w:szCs w:val="24"/>
        </w:rPr>
      </w:pPr>
      <w:r>
        <w:rPr>
          <w:rFonts w:ascii="Times New Roman" w:hAnsi="Times New Roman" w:cs="Times New Roman"/>
          <w:sz w:val="24"/>
          <w:szCs w:val="24"/>
        </w:rPr>
        <w:t>Montefiore Medical Center,</w:t>
      </w:r>
      <w:r>
        <w:t xml:space="preserve"> </w:t>
      </w:r>
      <w:r>
        <w:rPr>
          <w:rFonts w:ascii="Times New Roman" w:hAnsi="Times New Roman" w:cs="Times New Roman"/>
          <w:sz w:val="24"/>
          <w:szCs w:val="24"/>
        </w:rPr>
        <w:t>111 E 210th St, Bronx, NY 10467</w:t>
      </w:r>
    </w:p>
    <w:p w14:paraId="10BD9DF9" w14:textId="77777777" w:rsidR="0007657F" w:rsidRDefault="0007657F" w:rsidP="0007657F">
      <w:pPr>
        <w:spacing w:before="240" w:line="240" w:lineRule="auto"/>
        <w:jc w:val="both"/>
        <w:rPr>
          <w:rFonts w:ascii="Times New Roman" w:hAnsi="Times New Roman" w:cs="Times New Roman"/>
          <w:sz w:val="24"/>
          <w:szCs w:val="24"/>
        </w:rPr>
      </w:pPr>
      <w:r>
        <w:rPr>
          <w:rFonts w:ascii="Times New Roman" w:hAnsi="Times New Roman" w:cs="Times New Roman"/>
          <w:b/>
          <w:bCs/>
          <w:sz w:val="24"/>
          <w:szCs w:val="24"/>
        </w:rPr>
        <w:t>Background</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Optimal pain management in surgery is an important factor in patients’ satisfaction and outcomes. Over the years, opioid use in bariatric surgery (BS) had some untoward effects including increasing patients’ length of stay. However, studies have shown that multimodal approaches to pain control are effective in surgery. A quality improvement project was initiated at Montefiore Medical Center (MMC) by Bariatric Surgery and Pharmacy to reduce opioid use in this surgical population.</w:t>
      </w:r>
    </w:p>
    <w:p w14:paraId="55621BEB" w14:textId="77777777" w:rsidR="0007657F" w:rsidRDefault="0007657F" w:rsidP="0007657F">
      <w:pPr>
        <w:spacing w:line="240" w:lineRule="auto"/>
        <w:rPr>
          <w:rFonts w:ascii="Times New Roman" w:hAnsi="Times New Roman" w:cs="Times New Roman"/>
          <w:sz w:val="24"/>
          <w:szCs w:val="24"/>
        </w:rPr>
      </w:pPr>
      <w:r>
        <w:rPr>
          <w:rFonts w:ascii="Times New Roman" w:hAnsi="Times New Roman" w:cs="Times New Roman"/>
          <w:b/>
          <w:bCs/>
          <w:sz w:val="24"/>
          <w:szCs w:val="24"/>
        </w:rPr>
        <w:t>Objective</w:t>
      </w:r>
      <w:r>
        <w:rPr>
          <w:rFonts w:ascii="Times New Roman" w:hAnsi="Times New Roman" w:cs="Times New Roman"/>
          <w:sz w:val="24"/>
          <w:szCs w:val="24"/>
        </w:rPr>
        <w:t>: To reduce by 80% from baseline the morphine equivalent dose (MED) of opioids used in bariatric surgery by July 2021.</w:t>
      </w:r>
    </w:p>
    <w:p w14:paraId="2FD5E4A2" w14:textId="77777777" w:rsidR="0007657F" w:rsidRDefault="0007657F" w:rsidP="0007657F">
      <w:pPr>
        <w:spacing w:before="240" w:line="240" w:lineRule="auto"/>
        <w:rPr>
          <w:rFonts w:ascii="Times New Roman" w:hAnsi="Times New Roman" w:cs="Times New Roman"/>
          <w:sz w:val="24"/>
          <w:szCs w:val="24"/>
        </w:rPr>
      </w:pPr>
      <w:r>
        <w:rPr>
          <w:rFonts w:ascii="Times New Roman" w:hAnsi="Times New Roman" w:cs="Times New Roman"/>
          <w:b/>
          <w:bCs/>
          <w:sz w:val="24"/>
          <w:szCs w:val="24"/>
        </w:rPr>
        <w:t>Methods</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Eligible bariatric patients at MMC were enrolled from August 2020 to July 2021. A process map was developed to visualize patients’ flow from admission to discharge. Baseline data on the MED of opioids used was collected prior to any intervention.  The Bariatric Surgery Targeting Opioid Prescriptions (BSTOP) protocol which was developed as an opioid reduction strategy, was tested in patients following a PDSA (Plan-Do-Study-Act) methodology.  The major opioid reduction strategies in</w:t>
      </w:r>
      <w:r>
        <w:rPr>
          <w:rFonts w:ascii="Times New Roman" w:eastAsia="Times New Roman" w:hAnsi="Times New Roman" w:cs="Times New Roman"/>
          <w:color w:val="4D5156"/>
          <w:sz w:val="21"/>
          <w:szCs w:val="21"/>
        </w:rPr>
        <w:t xml:space="preserve"> </w:t>
      </w:r>
      <w:r>
        <w:rPr>
          <w:rFonts w:ascii="Times New Roman" w:hAnsi="Times New Roman" w:cs="Times New Roman"/>
          <w:sz w:val="24"/>
          <w:szCs w:val="24"/>
        </w:rPr>
        <w:t xml:space="preserve">BSTOP include patient and provider education; multimodal pain strategies involving acetaminophen and gabapentin, regional anesthesia; and perioperative opioid minimization. </w:t>
      </w:r>
      <w:bookmarkStart w:id="1" w:name="_Hlk65673134"/>
      <w:r>
        <w:rPr>
          <w:rFonts w:ascii="Times New Roman" w:hAnsi="Times New Roman" w:cs="Times New Roman"/>
          <w:sz w:val="24"/>
          <w:szCs w:val="24"/>
        </w:rPr>
        <w:t xml:space="preserve">Monthly opioid MEDs collected after BSTOP’s implementation was plotted on a chart to assess MED changes from baseline. </w:t>
      </w:r>
    </w:p>
    <w:bookmarkEnd w:id="1"/>
    <w:p w14:paraId="3BB0E1A9" w14:textId="77777777" w:rsidR="0007657F" w:rsidRDefault="0007657F" w:rsidP="0007657F">
      <w:pPr>
        <w:spacing w:before="240" w:line="240" w:lineRule="auto"/>
        <w:rPr>
          <w:rFonts w:ascii="Times New Roman" w:hAnsi="Times New Roman" w:cs="Times New Roman"/>
          <w:sz w:val="24"/>
          <w:szCs w:val="24"/>
        </w:rPr>
      </w:pPr>
      <w:r>
        <w:rPr>
          <w:rFonts w:ascii="Times New Roman" w:hAnsi="Times New Roman" w:cs="Times New Roman"/>
          <w:b/>
          <w:bCs/>
          <w:sz w:val="24"/>
          <w:szCs w:val="24"/>
        </w:rPr>
        <w:t>Results</w:t>
      </w:r>
      <w:r>
        <w:rPr>
          <w:rFonts w:ascii="Times New Roman" w:hAnsi="Times New Roman" w:cs="Times New Roman"/>
          <w:sz w:val="24"/>
          <w:szCs w:val="24"/>
        </w:rPr>
        <w:t>: From August 2020 to January 2021, we observed a 37% reduction of MED inpatient opioids and a 100% decrease in fentanyl PCA use.</w:t>
      </w:r>
    </w:p>
    <w:p w14:paraId="0BCDDCD3" w14:textId="77777777" w:rsidR="0007657F" w:rsidRDefault="0007657F" w:rsidP="0007657F">
      <w:pPr>
        <w:spacing w:before="240" w:line="240" w:lineRule="auto"/>
        <w:rPr>
          <w:rFonts w:ascii="Times New Roman" w:hAnsi="Times New Roman" w:cs="Times New Roman"/>
          <w:sz w:val="24"/>
          <w:szCs w:val="24"/>
        </w:rPr>
      </w:pPr>
      <w:r>
        <w:rPr>
          <w:rFonts w:ascii="Times New Roman" w:hAnsi="Times New Roman" w:cs="Times New Roman"/>
          <w:b/>
          <w:bCs/>
          <w:sz w:val="24"/>
          <w:szCs w:val="24"/>
        </w:rPr>
        <w:t>Conclusion</w:t>
      </w:r>
      <w:r>
        <w:rPr>
          <w:rFonts w:ascii="Times New Roman" w:hAnsi="Times New Roman" w:cs="Times New Roman"/>
          <w:sz w:val="24"/>
          <w:szCs w:val="24"/>
        </w:rPr>
        <w:t>: Implementing the BSTOP protocol has reduced opioid use in our BS patients. Monthly data and BSTOP’s compliance will be assessed till project completion.</w:t>
      </w:r>
    </w:p>
    <w:p w14:paraId="1E4C8557" w14:textId="01499AA1" w:rsidR="0007657F" w:rsidRDefault="0007657F" w:rsidP="0007657F">
      <w:pPr>
        <w:rPr>
          <w:rFonts w:ascii="Times New Roman" w:eastAsia="Calibri" w:hAnsi="Times New Roman" w:cs="Times New Roman"/>
          <w:sz w:val="24"/>
          <w:szCs w:val="24"/>
        </w:rPr>
      </w:pPr>
    </w:p>
    <w:p w14:paraId="7FBDD672" w14:textId="30D8C9F4" w:rsidR="0007657F" w:rsidRDefault="0007657F" w:rsidP="0007657F">
      <w:pPr>
        <w:rPr>
          <w:rFonts w:ascii="Times New Roman" w:eastAsia="Calibri" w:hAnsi="Times New Roman" w:cs="Times New Roman"/>
          <w:sz w:val="24"/>
          <w:szCs w:val="24"/>
        </w:rPr>
      </w:pPr>
    </w:p>
    <w:p w14:paraId="07C8624C" w14:textId="2D6FAA1E" w:rsidR="0007657F" w:rsidRDefault="0007657F" w:rsidP="0007657F">
      <w:pPr>
        <w:rPr>
          <w:rFonts w:ascii="Times New Roman" w:eastAsia="Calibri" w:hAnsi="Times New Roman" w:cs="Times New Roman"/>
          <w:sz w:val="24"/>
          <w:szCs w:val="24"/>
        </w:rPr>
      </w:pPr>
    </w:p>
    <w:p w14:paraId="2FDE16B1" w14:textId="76195D50" w:rsidR="0007657F" w:rsidRDefault="0007657F" w:rsidP="0007657F">
      <w:pPr>
        <w:rPr>
          <w:rFonts w:ascii="Times New Roman" w:eastAsia="Calibri" w:hAnsi="Times New Roman" w:cs="Times New Roman"/>
          <w:sz w:val="24"/>
          <w:szCs w:val="24"/>
        </w:rPr>
      </w:pPr>
    </w:p>
    <w:p w14:paraId="461DBE2C" w14:textId="7E157E6A" w:rsidR="0007657F" w:rsidRDefault="0007657F" w:rsidP="0007657F">
      <w:pPr>
        <w:rPr>
          <w:rFonts w:ascii="Times New Roman" w:eastAsia="Calibri" w:hAnsi="Times New Roman" w:cs="Times New Roman"/>
          <w:sz w:val="24"/>
          <w:szCs w:val="24"/>
        </w:rPr>
      </w:pPr>
    </w:p>
    <w:p w14:paraId="199F9FF2" w14:textId="1BC7CF13" w:rsidR="0007657F" w:rsidRDefault="0007657F" w:rsidP="0007657F">
      <w:pPr>
        <w:rPr>
          <w:rFonts w:ascii="Times New Roman" w:eastAsia="Calibri" w:hAnsi="Times New Roman" w:cs="Times New Roman"/>
          <w:sz w:val="24"/>
          <w:szCs w:val="24"/>
        </w:rPr>
      </w:pPr>
    </w:p>
    <w:p w14:paraId="5B5FBC4E" w14:textId="02C7E337" w:rsidR="0007657F" w:rsidRDefault="0007657F" w:rsidP="0007657F">
      <w:pPr>
        <w:rPr>
          <w:rFonts w:ascii="Times New Roman" w:eastAsia="Calibri" w:hAnsi="Times New Roman" w:cs="Times New Roman"/>
          <w:sz w:val="24"/>
          <w:szCs w:val="24"/>
        </w:rPr>
      </w:pPr>
    </w:p>
    <w:p w14:paraId="49647784" w14:textId="2E49E82F" w:rsidR="0007657F" w:rsidRDefault="0007657F" w:rsidP="0007657F">
      <w:pPr>
        <w:rPr>
          <w:rFonts w:ascii="Times New Roman" w:eastAsia="Calibri" w:hAnsi="Times New Roman" w:cs="Times New Roman"/>
          <w:sz w:val="24"/>
          <w:szCs w:val="24"/>
        </w:rPr>
      </w:pPr>
    </w:p>
    <w:p w14:paraId="645D2CC3" w14:textId="658B1EF0" w:rsidR="0007657F" w:rsidRDefault="0007657F" w:rsidP="0007657F">
      <w:pPr>
        <w:rPr>
          <w:rFonts w:ascii="Times New Roman" w:eastAsia="Calibri" w:hAnsi="Times New Roman" w:cs="Times New Roman"/>
          <w:sz w:val="24"/>
          <w:szCs w:val="24"/>
        </w:rPr>
      </w:pPr>
    </w:p>
    <w:p w14:paraId="02767101" w14:textId="14D9DBD4" w:rsidR="0007657F" w:rsidRDefault="0007657F" w:rsidP="0007657F">
      <w:pPr>
        <w:rPr>
          <w:rFonts w:ascii="Times New Roman" w:eastAsia="Calibri" w:hAnsi="Times New Roman" w:cs="Times New Roman"/>
          <w:sz w:val="24"/>
          <w:szCs w:val="24"/>
        </w:rPr>
      </w:pPr>
    </w:p>
    <w:p w14:paraId="6C62D3CD" w14:textId="77777777" w:rsidR="0007657F" w:rsidRDefault="0007657F" w:rsidP="0007657F">
      <w:pPr>
        <w:rPr>
          <w:rFonts w:ascii="Times New Roman" w:hAnsi="Times New Roman" w:cs="Times New Roman"/>
        </w:rPr>
      </w:pPr>
      <w:r>
        <w:rPr>
          <w:rFonts w:ascii="Times New Roman" w:hAnsi="Times New Roman" w:cs="Times New Roman"/>
        </w:rPr>
        <w:lastRenderedPageBreak/>
        <w:t>ASSESSING THE ROLE OF THE PHARMACIST IN MANAGING CHEMOTHERAPY INDUCED NAUSEA AND VOMITING IN PATIENTS RECEIVING CHEMOTHERAPY</w:t>
      </w:r>
    </w:p>
    <w:p w14:paraId="26645E54" w14:textId="77777777" w:rsidR="0007657F" w:rsidRDefault="0007657F" w:rsidP="0007657F">
      <w:pPr>
        <w:rPr>
          <w:rFonts w:ascii="Times New Roman" w:hAnsi="Times New Roman" w:cs="Times New Roman"/>
          <w:b/>
          <w:bCs/>
        </w:rPr>
      </w:pPr>
    </w:p>
    <w:p w14:paraId="738383EB" w14:textId="77777777" w:rsidR="0007657F" w:rsidRDefault="0007657F" w:rsidP="0007657F">
      <w:pPr>
        <w:rPr>
          <w:rFonts w:ascii="Times New Roman" w:hAnsi="Times New Roman" w:cs="Times New Roman"/>
        </w:rPr>
      </w:pPr>
      <w:r>
        <w:rPr>
          <w:rFonts w:ascii="Times New Roman" w:hAnsi="Times New Roman" w:cs="Times New Roman"/>
          <w:u w:val="single"/>
        </w:rPr>
        <w:t>Atiq R</w:t>
      </w:r>
      <w:r>
        <w:rPr>
          <w:rFonts w:ascii="Times New Roman" w:hAnsi="Times New Roman" w:cs="Times New Roman"/>
        </w:rPr>
        <w:t xml:space="preserve">*, </w:t>
      </w:r>
      <w:r>
        <w:rPr>
          <w:rFonts w:ascii="Times New Roman" w:hAnsi="Times New Roman" w:cs="Times New Roman"/>
          <w:u w:val="single"/>
        </w:rPr>
        <w:t>Boateng E</w:t>
      </w:r>
      <w:r>
        <w:rPr>
          <w:rFonts w:ascii="Times New Roman" w:hAnsi="Times New Roman" w:cs="Times New Roman"/>
        </w:rPr>
        <w:t xml:space="preserve">, </w:t>
      </w:r>
      <w:r>
        <w:rPr>
          <w:rFonts w:ascii="Times New Roman" w:hAnsi="Times New Roman" w:cs="Times New Roman"/>
          <w:u w:val="single"/>
        </w:rPr>
        <w:t>Bulku S</w:t>
      </w:r>
      <w:r>
        <w:rPr>
          <w:rFonts w:ascii="Times New Roman" w:hAnsi="Times New Roman" w:cs="Times New Roman"/>
        </w:rPr>
        <w:t xml:space="preserve">, </w:t>
      </w:r>
      <w:r>
        <w:rPr>
          <w:rFonts w:ascii="Times New Roman" w:hAnsi="Times New Roman" w:cs="Times New Roman"/>
          <w:u w:val="single"/>
        </w:rPr>
        <w:t>Lao P</w:t>
      </w:r>
    </w:p>
    <w:p w14:paraId="1768D28C" w14:textId="77777777" w:rsidR="0007657F" w:rsidRDefault="0007657F" w:rsidP="0007657F">
      <w:pPr>
        <w:rPr>
          <w:rFonts w:ascii="Times New Roman" w:hAnsi="Times New Roman" w:cs="Times New Roman"/>
        </w:rPr>
      </w:pPr>
    </w:p>
    <w:p w14:paraId="2B620839" w14:textId="77777777" w:rsidR="0007657F" w:rsidRDefault="0007657F" w:rsidP="0007657F">
      <w:pPr>
        <w:rPr>
          <w:rFonts w:ascii="Times New Roman" w:hAnsi="Times New Roman" w:cs="Times New Roman"/>
        </w:rPr>
      </w:pPr>
      <w:r>
        <w:rPr>
          <w:rFonts w:ascii="Times New Roman" w:hAnsi="Times New Roman" w:cs="Times New Roman"/>
        </w:rPr>
        <w:t xml:space="preserve">BronxCare Health System, 1650 Grand Concourse, Bronx, NY </w:t>
      </w:r>
    </w:p>
    <w:p w14:paraId="6AE2317F" w14:textId="77777777" w:rsidR="0007657F" w:rsidRDefault="0007657F" w:rsidP="0007657F">
      <w:pPr>
        <w:rPr>
          <w:rFonts w:ascii="Times New Roman" w:hAnsi="Times New Roman" w:cs="Times New Roman"/>
          <w:b/>
          <w:bCs/>
        </w:rPr>
      </w:pPr>
    </w:p>
    <w:p w14:paraId="0291B739" w14:textId="77777777" w:rsidR="0007657F" w:rsidRDefault="0007657F" w:rsidP="0007657F">
      <w:pPr>
        <w:rPr>
          <w:rFonts w:ascii="Times New Roman" w:hAnsi="Times New Roman" w:cs="Times New Roman"/>
          <w:b/>
          <w:bCs/>
        </w:rPr>
      </w:pPr>
      <w:r>
        <w:rPr>
          <w:rFonts w:ascii="Times New Roman" w:hAnsi="Times New Roman" w:cs="Times New Roman"/>
          <w:b/>
          <w:bCs/>
        </w:rPr>
        <w:t xml:space="preserve">Background: </w:t>
      </w:r>
      <w:r>
        <w:rPr>
          <w:rFonts w:ascii="Times New Roman" w:hAnsi="Times New Roman" w:cs="Times New Roman"/>
        </w:rPr>
        <w:t>Chemotherapy induced nausea/vomiting (CINV) is considered one of the most debilitating adverse events among patients receiving chemotherapy. CINV can negatively impact a patient’s quality of life and may affect adherence with their treatment plan. The National Comprehensive Cancer Network (NCCN) recommends a three to four medication combination to prevent breakthrough CINV in highly emetogenic chemotherapy regimens. There is limited literature available on the role of the pharmacists in managing CINV patients. Despite NCCN recommendations patients are not consistently optimized on their antiemetic regimens due to medication non-adherence, and physician treatment preference. This is where pharmacists are able to play a key role in patient therapy. As experts in pharmacotherapy, pharmacists can help manage patient’s CINV regimens to optimize therapy.</w:t>
      </w:r>
    </w:p>
    <w:p w14:paraId="2B2EB058" w14:textId="77777777" w:rsidR="0007657F" w:rsidRDefault="0007657F" w:rsidP="0007657F">
      <w:pPr>
        <w:rPr>
          <w:rFonts w:ascii="Times New Roman" w:hAnsi="Times New Roman" w:cs="Times New Roman"/>
        </w:rPr>
      </w:pPr>
    </w:p>
    <w:p w14:paraId="392FE102" w14:textId="77777777" w:rsidR="0007657F" w:rsidRDefault="0007657F" w:rsidP="0007657F">
      <w:pPr>
        <w:rPr>
          <w:rFonts w:ascii="Times New Roman" w:hAnsi="Times New Roman" w:cs="Times New Roman"/>
          <w:b/>
          <w:bCs/>
        </w:rPr>
      </w:pPr>
      <w:r>
        <w:rPr>
          <w:rFonts w:ascii="Times New Roman" w:hAnsi="Times New Roman" w:cs="Times New Roman"/>
          <w:b/>
          <w:bCs/>
        </w:rPr>
        <w:t xml:space="preserve">Objective: </w:t>
      </w:r>
      <w:r>
        <w:rPr>
          <w:rFonts w:ascii="Times New Roman" w:hAnsi="Times New Roman" w:cs="Times New Roman"/>
        </w:rPr>
        <w:t>The objective of this study is to assess the impact of pharmacist interventions on the incidence of breakthrough CINV in patients receiving chemotherapy in an outpatient oncology clinic.</w:t>
      </w:r>
    </w:p>
    <w:p w14:paraId="7CD7EDAD" w14:textId="77777777" w:rsidR="0007657F" w:rsidRDefault="0007657F" w:rsidP="0007657F">
      <w:pPr>
        <w:rPr>
          <w:rFonts w:ascii="Times New Roman" w:hAnsi="Times New Roman" w:cs="Times New Roman"/>
        </w:rPr>
      </w:pPr>
    </w:p>
    <w:p w14:paraId="02C611E5" w14:textId="77777777" w:rsidR="0007657F" w:rsidRDefault="0007657F" w:rsidP="0007657F">
      <w:pPr>
        <w:rPr>
          <w:rFonts w:ascii="Times New Roman" w:hAnsi="Times New Roman" w:cs="Times New Roman"/>
        </w:rPr>
      </w:pPr>
      <w:r>
        <w:rPr>
          <w:rFonts w:ascii="Times New Roman" w:hAnsi="Times New Roman" w:cs="Times New Roman"/>
          <w:b/>
          <w:bCs/>
        </w:rPr>
        <w:t xml:space="preserve">Methods: </w:t>
      </w:r>
      <w:r>
        <w:rPr>
          <w:rFonts w:ascii="Times New Roman" w:hAnsi="Times New Roman" w:cs="Times New Roman"/>
        </w:rPr>
        <w:t>We will conduct a retrospective chart review of patients that were prescribed anti-emetic medications for chemotherapy from July 2018 to November 2018 and July 2020 to November 2020 after implementation of clinical pharmacists in the oncology clinic. Patient’s charts will be examined for chemotherapy regimen and anti-emetic regimen. Data will be collected from Allscripts and documented in a password-protected Excel spreadsheet. This study was approved by the investigational review board at BronxCare Health System.</w:t>
      </w:r>
    </w:p>
    <w:p w14:paraId="03A91E0A" w14:textId="77777777" w:rsidR="0007657F" w:rsidRDefault="0007657F" w:rsidP="0007657F">
      <w:pPr>
        <w:rPr>
          <w:rFonts w:ascii="Times New Roman" w:hAnsi="Times New Roman" w:cs="Times New Roman"/>
        </w:rPr>
      </w:pPr>
    </w:p>
    <w:p w14:paraId="09F220AF" w14:textId="77777777" w:rsidR="0007657F" w:rsidRDefault="0007657F" w:rsidP="0007657F">
      <w:pPr>
        <w:rPr>
          <w:rFonts w:ascii="Times New Roman" w:hAnsi="Times New Roman" w:cs="Times New Roman"/>
        </w:rPr>
      </w:pPr>
      <w:r>
        <w:rPr>
          <w:rFonts w:ascii="Times New Roman" w:hAnsi="Times New Roman" w:cs="Times New Roman"/>
          <w:b/>
          <w:bCs/>
        </w:rPr>
        <w:t xml:space="preserve">Results: </w:t>
      </w:r>
      <w:r>
        <w:rPr>
          <w:rFonts w:ascii="Times New Roman" w:hAnsi="Times New Roman" w:cs="Times New Roman"/>
        </w:rPr>
        <w:t>Research in progress</w:t>
      </w:r>
    </w:p>
    <w:p w14:paraId="28DC82C7" w14:textId="77777777" w:rsidR="0007657F" w:rsidRDefault="0007657F" w:rsidP="0007657F">
      <w:pPr>
        <w:rPr>
          <w:rFonts w:ascii="Times New Roman" w:hAnsi="Times New Roman" w:cs="Times New Roman"/>
        </w:rPr>
      </w:pPr>
    </w:p>
    <w:p w14:paraId="2E91D321" w14:textId="77777777" w:rsidR="0007657F" w:rsidRDefault="0007657F" w:rsidP="0007657F">
      <w:pPr>
        <w:rPr>
          <w:rFonts w:ascii="Times New Roman" w:hAnsi="Times New Roman" w:cs="Times New Roman"/>
        </w:rPr>
      </w:pPr>
      <w:r>
        <w:rPr>
          <w:rFonts w:ascii="Times New Roman" w:hAnsi="Times New Roman" w:cs="Times New Roman"/>
          <w:b/>
          <w:bCs/>
        </w:rPr>
        <w:t xml:space="preserve">Conclusion: </w:t>
      </w:r>
      <w:r>
        <w:rPr>
          <w:rFonts w:ascii="Times New Roman" w:hAnsi="Times New Roman" w:cs="Times New Roman"/>
        </w:rPr>
        <w:t xml:space="preserve">Research in progress </w:t>
      </w:r>
    </w:p>
    <w:p w14:paraId="04D30ACB" w14:textId="2B5D6CD6" w:rsidR="0007657F" w:rsidRDefault="0007657F" w:rsidP="0007657F">
      <w:pPr>
        <w:rPr>
          <w:rFonts w:ascii="Times New Roman" w:eastAsia="Calibri" w:hAnsi="Times New Roman" w:cs="Times New Roman"/>
          <w:sz w:val="24"/>
          <w:szCs w:val="24"/>
        </w:rPr>
      </w:pPr>
    </w:p>
    <w:p w14:paraId="3A250B09" w14:textId="3A252213" w:rsidR="0007657F" w:rsidRDefault="0007657F" w:rsidP="0007657F">
      <w:pPr>
        <w:rPr>
          <w:rFonts w:ascii="Times New Roman" w:eastAsia="Calibri" w:hAnsi="Times New Roman" w:cs="Times New Roman"/>
          <w:sz w:val="24"/>
          <w:szCs w:val="24"/>
        </w:rPr>
      </w:pPr>
    </w:p>
    <w:p w14:paraId="3D990985" w14:textId="330F0C42" w:rsidR="0007657F" w:rsidRDefault="0007657F" w:rsidP="0007657F">
      <w:pPr>
        <w:rPr>
          <w:rFonts w:ascii="Times New Roman" w:eastAsia="Calibri" w:hAnsi="Times New Roman" w:cs="Times New Roman"/>
          <w:sz w:val="24"/>
          <w:szCs w:val="24"/>
        </w:rPr>
      </w:pPr>
    </w:p>
    <w:p w14:paraId="63560AC1" w14:textId="76E77297" w:rsidR="0007657F" w:rsidRDefault="0007657F" w:rsidP="0007657F">
      <w:pPr>
        <w:rPr>
          <w:rFonts w:ascii="Times New Roman" w:eastAsia="Calibri" w:hAnsi="Times New Roman" w:cs="Times New Roman"/>
          <w:sz w:val="24"/>
          <w:szCs w:val="24"/>
        </w:rPr>
      </w:pPr>
    </w:p>
    <w:p w14:paraId="2823FAF3" w14:textId="075F0BEE" w:rsidR="0007657F" w:rsidRDefault="0007657F" w:rsidP="0007657F">
      <w:pPr>
        <w:rPr>
          <w:rFonts w:ascii="Times New Roman" w:eastAsia="Calibri" w:hAnsi="Times New Roman" w:cs="Times New Roman"/>
          <w:sz w:val="24"/>
          <w:szCs w:val="24"/>
        </w:rPr>
      </w:pPr>
    </w:p>
    <w:p w14:paraId="197D924F" w14:textId="77777777" w:rsidR="0007657F" w:rsidRPr="0007657F" w:rsidRDefault="0007657F" w:rsidP="0007657F">
      <w:pPr>
        <w:spacing w:after="0"/>
        <w:rPr>
          <w:rFonts w:ascii="Times New Roman" w:hAnsi="Times New Roman" w:cs="Times New Roman"/>
          <w:bCs/>
        </w:rPr>
      </w:pPr>
      <w:r w:rsidRPr="0007657F">
        <w:rPr>
          <w:rFonts w:ascii="Times New Roman" w:hAnsi="Times New Roman" w:cs="Times New Roman"/>
          <w:bCs/>
        </w:rPr>
        <w:lastRenderedPageBreak/>
        <w:t xml:space="preserve">CEFTRIAXONE 1 GRAM VERSUS 2 GRAMS IN THE TREATMENT OF ENTEROBACTERALES BACTEREMIA </w:t>
      </w:r>
    </w:p>
    <w:p w14:paraId="0162AA35" w14:textId="77777777" w:rsidR="0007657F" w:rsidRPr="0007657F" w:rsidRDefault="0007657F" w:rsidP="0007657F">
      <w:pPr>
        <w:spacing w:after="0"/>
        <w:rPr>
          <w:rFonts w:ascii="Times New Roman" w:hAnsi="Times New Roman" w:cs="Times New Roman"/>
          <w:b/>
          <w:bCs/>
        </w:rPr>
      </w:pPr>
    </w:p>
    <w:p w14:paraId="41286DFF" w14:textId="77777777" w:rsidR="0007657F" w:rsidRPr="0007657F" w:rsidRDefault="0007657F" w:rsidP="0007657F">
      <w:pPr>
        <w:spacing w:after="0"/>
        <w:rPr>
          <w:rFonts w:ascii="Times New Roman" w:hAnsi="Times New Roman" w:cs="Times New Roman"/>
          <w:bCs/>
          <w:u w:val="single"/>
        </w:rPr>
      </w:pPr>
      <w:r w:rsidRPr="0007657F">
        <w:rPr>
          <w:rFonts w:ascii="Times New Roman" w:hAnsi="Times New Roman" w:cs="Times New Roman"/>
          <w:bCs/>
          <w:u w:val="single"/>
        </w:rPr>
        <w:t>Baalbaki N</w:t>
      </w:r>
      <w:r w:rsidRPr="0007657F">
        <w:rPr>
          <w:rFonts w:ascii="Times New Roman" w:hAnsi="Times New Roman" w:cs="Times New Roman"/>
          <w:bCs/>
        </w:rPr>
        <w:t xml:space="preserve">*, </w:t>
      </w:r>
      <w:r w:rsidRPr="0007657F">
        <w:rPr>
          <w:rFonts w:ascii="Times New Roman" w:hAnsi="Times New Roman" w:cs="Times New Roman"/>
          <w:bCs/>
          <w:u w:val="single"/>
        </w:rPr>
        <w:t>Blum S</w:t>
      </w:r>
      <w:r w:rsidRPr="0007657F">
        <w:rPr>
          <w:rFonts w:ascii="Times New Roman" w:hAnsi="Times New Roman" w:cs="Times New Roman"/>
          <w:bCs/>
        </w:rPr>
        <w:t xml:space="preserve">, </w:t>
      </w:r>
      <w:r w:rsidRPr="0007657F">
        <w:rPr>
          <w:rFonts w:ascii="Times New Roman" w:hAnsi="Times New Roman" w:cs="Times New Roman"/>
          <w:bCs/>
          <w:u w:val="single"/>
        </w:rPr>
        <w:t>Akerman M</w:t>
      </w:r>
      <w:r w:rsidRPr="0007657F">
        <w:rPr>
          <w:rFonts w:ascii="Times New Roman" w:hAnsi="Times New Roman" w:cs="Times New Roman"/>
          <w:bCs/>
        </w:rPr>
        <w:t xml:space="preserve">, </w:t>
      </w:r>
      <w:r w:rsidRPr="0007657F">
        <w:rPr>
          <w:rFonts w:ascii="Times New Roman" w:hAnsi="Times New Roman" w:cs="Times New Roman"/>
          <w:bCs/>
          <w:u w:val="single"/>
        </w:rPr>
        <w:t>Johnson D</w:t>
      </w:r>
    </w:p>
    <w:p w14:paraId="4710B910" w14:textId="77777777" w:rsidR="0007657F" w:rsidRPr="0007657F" w:rsidRDefault="0007657F" w:rsidP="0007657F">
      <w:pPr>
        <w:spacing w:after="0"/>
        <w:rPr>
          <w:rFonts w:ascii="Times New Roman" w:hAnsi="Times New Roman" w:cs="Times New Roman"/>
          <w:bCs/>
          <w:u w:val="single"/>
        </w:rPr>
      </w:pPr>
    </w:p>
    <w:p w14:paraId="67986F8E" w14:textId="77777777" w:rsidR="0007657F" w:rsidRPr="0007657F" w:rsidRDefault="0007657F" w:rsidP="0007657F">
      <w:pPr>
        <w:rPr>
          <w:rFonts w:ascii="Times New Roman" w:eastAsia="Times New Roman" w:hAnsi="Times New Roman" w:cs="Times New Roman"/>
          <w:sz w:val="28"/>
          <w:szCs w:val="28"/>
        </w:rPr>
      </w:pPr>
      <w:r w:rsidRPr="0007657F">
        <w:rPr>
          <w:rFonts w:ascii="Times New Roman" w:hAnsi="Times New Roman" w:cs="Times New Roman"/>
          <w:bCs/>
        </w:rPr>
        <w:t xml:space="preserve">NYU Langone Hospital – Long Island, </w:t>
      </w:r>
      <w:r w:rsidRPr="0007657F">
        <w:rPr>
          <w:rFonts w:ascii="Times" w:hAnsi="Times"/>
        </w:rPr>
        <w:t>259 1st St, Mineola, NY 11501</w:t>
      </w:r>
    </w:p>
    <w:p w14:paraId="5DFC8522" w14:textId="77777777" w:rsidR="0007657F" w:rsidRPr="0007657F" w:rsidRDefault="0007657F" w:rsidP="0007657F">
      <w:pPr>
        <w:spacing w:after="0"/>
        <w:rPr>
          <w:rFonts w:ascii="Times New Roman" w:hAnsi="Times New Roman" w:cs="Times New Roman"/>
          <w:b/>
          <w:bCs/>
        </w:rPr>
      </w:pPr>
      <w:r w:rsidRPr="0007657F">
        <w:rPr>
          <w:rFonts w:ascii="Times New Roman" w:hAnsi="Times New Roman" w:cs="Times New Roman"/>
          <w:b/>
          <w:bCs/>
        </w:rPr>
        <w:t xml:space="preserve">Background: </w:t>
      </w:r>
      <w:r w:rsidRPr="0007657F">
        <w:rPr>
          <w:rFonts w:ascii="Times New Roman" w:hAnsi="Times New Roman" w:cs="Times New Roman"/>
        </w:rPr>
        <w:t xml:space="preserve">Ceftriaxone is a commonly used antibiotic for the treatment of susceptible </w:t>
      </w:r>
      <w:r w:rsidRPr="0007657F">
        <w:rPr>
          <w:rFonts w:ascii="Times New Roman" w:hAnsi="Times New Roman" w:cs="Times New Roman"/>
          <w:iCs/>
        </w:rPr>
        <w:t>Enterobacterales</w:t>
      </w:r>
      <w:r w:rsidRPr="0007657F">
        <w:rPr>
          <w:rFonts w:ascii="Times New Roman" w:hAnsi="Times New Roman" w:cs="Times New Roman"/>
        </w:rPr>
        <w:t xml:space="preserve"> infections, including bacteremia. There is currently limited comparative data on the optimal dose of ceftriaxone for </w:t>
      </w:r>
      <w:r w:rsidRPr="0007657F">
        <w:rPr>
          <w:rFonts w:ascii="Times New Roman" w:hAnsi="Times New Roman" w:cs="Times New Roman"/>
          <w:iCs/>
        </w:rPr>
        <w:t>Enterbacterales</w:t>
      </w:r>
      <w:r w:rsidRPr="0007657F">
        <w:rPr>
          <w:rFonts w:ascii="Times New Roman" w:hAnsi="Times New Roman" w:cs="Times New Roman"/>
        </w:rPr>
        <w:t xml:space="preserve"> bacteremia and clinical outcomes of patients. </w:t>
      </w:r>
    </w:p>
    <w:p w14:paraId="3B8C4E6E" w14:textId="77777777" w:rsidR="0007657F" w:rsidRPr="0007657F" w:rsidRDefault="0007657F" w:rsidP="0007657F">
      <w:pPr>
        <w:spacing w:after="0"/>
        <w:rPr>
          <w:rFonts w:ascii="Times New Roman" w:hAnsi="Times New Roman" w:cs="Times New Roman"/>
        </w:rPr>
      </w:pPr>
    </w:p>
    <w:p w14:paraId="10A9AD14" w14:textId="77777777" w:rsidR="0007657F" w:rsidRPr="0007657F" w:rsidRDefault="0007657F" w:rsidP="0007657F">
      <w:pPr>
        <w:spacing w:after="0"/>
        <w:rPr>
          <w:rFonts w:ascii="Times New Roman" w:hAnsi="Times New Roman" w:cs="Times New Roman"/>
          <w:b/>
          <w:bCs/>
        </w:rPr>
      </w:pPr>
      <w:r w:rsidRPr="0007657F">
        <w:rPr>
          <w:rFonts w:ascii="Times New Roman" w:hAnsi="Times New Roman" w:cs="Times New Roman"/>
          <w:b/>
          <w:bCs/>
        </w:rPr>
        <w:t xml:space="preserve">Objectives: </w:t>
      </w:r>
      <w:r w:rsidRPr="0007657F">
        <w:rPr>
          <w:rFonts w:ascii="Times New Roman" w:eastAsia="Times New Roman" w:hAnsi="Times New Roman" w:cs="Times New Roman"/>
        </w:rPr>
        <w:t xml:space="preserve">To evaluate the rate of clinical failure of ceftriaxone 1 gram versus 2 grams in patients with </w:t>
      </w:r>
      <w:r w:rsidRPr="0007657F">
        <w:rPr>
          <w:rFonts w:ascii="Times New Roman" w:eastAsia="Times New Roman" w:hAnsi="Times New Roman" w:cs="Times New Roman"/>
          <w:iCs/>
        </w:rPr>
        <w:t>Enterbacterales</w:t>
      </w:r>
      <w:r w:rsidRPr="0007657F">
        <w:rPr>
          <w:rFonts w:ascii="Times New Roman" w:eastAsia="Times New Roman" w:hAnsi="Times New Roman" w:cs="Times New Roman"/>
        </w:rPr>
        <w:t xml:space="preserve"> bacteremia.</w:t>
      </w:r>
    </w:p>
    <w:p w14:paraId="586186F2" w14:textId="77777777" w:rsidR="0007657F" w:rsidRPr="0007657F" w:rsidRDefault="0007657F" w:rsidP="0007657F">
      <w:pPr>
        <w:spacing w:after="0"/>
        <w:rPr>
          <w:rFonts w:ascii="Times New Roman" w:hAnsi="Times New Roman" w:cs="Times New Roman"/>
        </w:rPr>
      </w:pPr>
    </w:p>
    <w:p w14:paraId="3082D1F9" w14:textId="77777777" w:rsidR="0007657F" w:rsidRPr="0007657F" w:rsidRDefault="0007657F" w:rsidP="0007657F">
      <w:pPr>
        <w:spacing w:after="0"/>
        <w:rPr>
          <w:rFonts w:ascii="Times New Roman" w:hAnsi="Times New Roman" w:cs="Times New Roman"/>
        </w:rPr>
      </w:pPr>
      <w:r w:rsidRPr="0007657F">
        <w:rPr>
          <w:rFonts w:ascii="Times New Roman" w:hAnsi="Times New Roman" w:cs="Times New Roman"/>
          <w:b/>
          <w:bCs/>
        </w:rPr>
        <w:t xml:space="preserve">Methods: </w:t>
      </w:r>
      <w:r w:rsidRPr="0007657F">
        <w:rPr>
          <w:rFonts w:ascii="Times New Roman" w:hAnsi="Times New Roman" w:cs="Times New Roman"/>
        </w:rPr>
        <w:t xml:space="preserve">This was a retrospective, observational study of patients admitted to any of the three NYU hospitals: Long Island, Tisch and Brooklyn campuses, with ceftriaxone susceptible </w:t>
      </w:r>
      <w:r w:rsidRPr="0007657F">
        <w:rPr>
          <w:rFonts w:ascii="Times New Roman" w:hAnsi="Times New Roman" w:cs="Times New Roman"/>
          <w:iCs/>
        </w:rPr>
        <w:t>Enterobacterales</w:t>
      </w:r>
      <w:r w:rsidRPr="0007657F">
        <w:rPr>
          <w:rFonts w:ascii="Times New Roman" w:hAnsi="Times New Roman" w:cs="Times New Roman"/>
        </w:rPr>
        <w:t xml:space="preserve"> bacteremia, receiving ceftriaxone 1 or 2 grams from October 2019 to September 2020. The primary outcome was treatment failure within 30 and 90 days. Treatment failure was defined as escalation of therapy, relapse of infection, or all-cause mortality. This study a was approved by the Institutional Review Board.</w:t>
      </w:r>
    </w:p>
    <w:p w14:paraId="25BE120E" w14:textId="77777777" w:rsidR="0007657F" w:rsidRPr="0007657F" w:rsidRDefault="0007657F" w:rsidP="0007657F">
      <w:pPr>
        <w:spacing w:after="0"/>
        <w:rPr>
          <w:rFonts w:ascii="Times New Roman" w:hAnsi="Times New Roman" w:cs="Times New Roman"/>
          <w:b/>
          <w:bCs/>
        </w:rPr>
      </w:pPr>
    </w:p>
    <w:p w14:paraId="07C75956" w14:textId="77777777" w:rsidR="0007657F" w:rsidRPr="0007657F" w:rsidRDefault="0007657F" w:rsidP="0007657F">
      <w:pPr>
        <w:spacing w:after="0"/>
        <w:rPr>
          <w:rFonts w:ascii="Times New Roman" w:hAnsi="Times New Roman" w:cs="Times New Roman"/>
          <w:b/>
          <w:bCs/>
        </w:rPr>
      </w:pPr>
      <w:r w:rsidRPr="0007657F">
        <w:rPr>
          <w:rFonts w:ascii="Times New Roman" w:hAnsi="Times New Roman" w:cs="Times New Roman"/>
          <w:b/>
          <w:bCs/>
        </w:rPr>
        <w:t xml:space="preserve">Results: </w:t>
      </w:r>
      <w:r w:rsidRPr="0007657F">
        <w:rPr>
          <w:rFonts w:ascii="Times New Roman" w:hAnsi="Times New Roman" w:cs="Times New Roman"/>
        </w:rPr>
        <w:t>A total of 124 patients were included in this study. There was no statistically significant difference found in the primary outcome. The 30-day and 90-day rate of clinical failure was 13.9% vs. 9.6%; P= 0.47 and 16.7% vs. 9.6%; P= 0.26, respectively. Marked hypoalbuminemia was associated with greater risk of 90-day treatment failure (Odds ratio, 5.4; 95% CI, 1.619-18.013).</w:t>
      </w:r>
    </w:p>
    <w:p w14:paraId="05BAFF34" w14:textId="77777777" w:rsidR="0007657F" w:rsidRPr="0007657F" w:rsidRDefault="0007657F" w:rsidP="0007657F">
      <w:pPr>
        <w:spacing w:after="0"/>
        <w:rPr>
          <w:rFonts w:ascii="Times New Roman" w:hAnsi="Times New Roman" w:cs="Times New Roman"/>
        </w:rPr>
      </w:pPr>
    </w:p>
    <w:p w14:paraId="71DD21E3" w14:textId="77777777" w:rsidR="0007657F" w:rsidRPr="0007657F" w:rsidRDefault="0007657F" w:rsidP="0007657F">
      <w:pPr>
        <w:spacing w:after="0"/>
        <w:rPr>
          <w:rFonts w:ascii="Times New Roman" w:hAnsi="Times New Roman" w:cs="Times New Roman"/>
          <w:b/>
          <w:bCs/>
        </w:rPr>
      </w:pPr>
      <w:r w:rsidRPr="0007657F">
        <w:rPr>
          <w:rFonts w:ascii="Times New Roman" w:hAnsi="Times New Roman" w:cs="Times New Roman"/>
          <w:b/>
          <w:bCs/>
        </w:rPr>
        <w:t xml:space="preserve">Conclusion: </w:t>
      </w:r>
      <w:r w:rsidRPr="0007657F">
        <w:rPr>
          <w:rFonts w:ascii="Times New Roman" w:hAnsi="Times New Roman" w:cs="Times New Roman"/>
        </w:rPr>
        <w:t xml:space="preserve">In the treatment of </w:t>
      </w:r>
      <w:r w:rsidRPr="0007657F">
        <w:rPr>
          <w:rFonts w:ascii="Times New Roman" w:hAnsi="Times New Roman" w:cs="Times New Roman"/>
          <w:iCs/>
        </w:rPr>
        <w:t>Enterobacterales</w:t>
      </w:r>
      <w:r w:rsidRPr="0007657F">
        <w:rPr>
          <w:rFonts w:ascii="Times New Roman" w:hAnsi="Times New Roman" w:cs="Times New Roman"/>
        </w:rPr>
        <w:t xml:space="preserve"> bacteremia, there were no statistical differences of 30-day or 90-day rates of clinical failure between ceftriaxone 1 gram versus 2 grams, though there was a trend towards increased rates of failure with the 1-gram group. Marked hypoalbuminemia was an independent factor associated with treatment failure. A prospective study may be warranted to confirm these findings.  </w:t>
      </w:r>
    </w:p>
    <w:p w14:paraId="4B6A03EA" w14:textId="77777777" w:rsidR="0007657F" w:rsidRPr="0007657F" w:rsidRDefault="0007657F" w:rsidP="0007657F">
      <w:pPr>
        <w:spacing w:after="0"/>
        <w:rPr>
          <w:rFonts w:ascii="Times New Roman" w:hAnsi="Times New Roman" w:cs="Times New Roman"/>
        </w:rPr>
      </w:pPr>
    </w:p>
    <w:p w14:paraId="64596028" w14:textId="77777777" w:rsidR="0007657F" w:rsidRDefault="0007657F" w:rsidP="0007657F">
      <w:pPr>
        <w:rPr>
          <w:rFonts w:ascii="Times New Roman" w:eastAsia="Calibri" w:hAnsi="Times New Roman" w:cs="Times New Roman"/>
          <w:sz w:val="24"/>
          <w:szCs w:val="24"/>
        </w:rPr>
      </w:pPr>
    </w:p>
    <w:p w14:paraId="631DC250" w14:textId="3D250AFD" w:rsidR="0007657F" w:rsidRDefault="0007657F" w:rsidP="0007657F"/>
    <w:p w14:paraId="512363BA" w14:textId="55B5ABEA" w:rsidR="0007657F" w:rsidRDefault="0007657F" w:rsidP="0007657F"/>
    <w:p w14:paraId="35910594" w14:textId="178FC2E1" w:rsidR="0007657F" w:rsidRDefault="0007657F" w:rsidP="0007657F"/>
    <w:p w14:paraId="0133E97D" w14:textId="3F911948" w:rsidR="0007657F" w:rsidRDefault="0007657F" w:rsidP="0007657F"/>
    <w:p w14:paraId="3C83B3D4" w14:textId="239694B3" w:rsidR="0007657F" w:rsidRDefault="0007657F" w:rsidP="0007657F"/>
    <w:p w14:paraId="62D351D8" w14:textId="5FF7BBDC" w:rsidR="0007657F" w:rsidRDefault="0007657F" w:rsidP="0007657F"/>
    <w:p w14:paraId="3DEED272" w14:textId="0E0C2BFF" w:rsidR="0007657F" w:rsidRDefault="0007657F" w:rsidP="0007657F"/>
    <w:p w14:paraId="04007B2E" w14:textId="21824744" w:rsidR="0007657F" w:rsidRDefault="0007657F" w:rsidP="0007657F"/>
    <w:p w14:paraId="1DF4ADFB" w14:textId="4EC34B74" w:rsidR="0007657F" w:rsidRDefault="0007657F" w:rsidP="0007657F"/>
    <w:p w14:paraId="046895B7" w14:textId="77777777" w:rsidR="0007657F" w:rsidRDefault="0007657F" w:rsidP="0007657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EVALUATION OF ANTIMICROBIAL USE AND PRESCRIBING PATTERNS DURING THE COVID-19 PANDEMIC IN PATIENTS RECEIVING TOCILIZUMAB</w:t>
      </w:r>
    </w:p>
    <w:p w14:paraId="3B444620" w14:textId="77777777" w:rsidR="0007657F" w:rsidRDefault="0007657F" w:rsidP="0007657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Barsoum B*, Chang K, Mulvey N, Donaghy H, Doan T</w:t>
      </w:r>
    </w:p>
    <w:p w14:paraId="45431FC1" w14:textId="77777777" w:rsidR="0007657F" w:rsidRDefault="0007657F" w:rsidP="0007657F">
      <w:pPr>
        <w:spacing w:after="0" w:line="240" w:lineRule="auto"/>
        <w:rPr>
          <w:rFonts w:ascii="Times New Roman" w:hAnsi="Times New Roman" w:cs="Times New Roman"/>
          <w:sz w:val="24"/>
          <w:szCs w:val="24"/>
        </w:rPr>
      </w:pPr>
      <w:r>
        <w:rPr>
          <w:rFonts w:ascii="Times New Roman" w:hAnsi="Times New Roman" w:cs="Times New Roman"/>
          <w:sz w:val="24"/>
          <w:szCs w:val="24"/>
        </w:rPr>
        <w:t>Long Island Jewish Medical Center, 270-05 76th Ave, New Hyde Park, NY 11040</w:t>
      </w:r>
    </w:p>
    <w:p w14:paraId="3B25F8B2" w14:textId="77777777" w:rsidR="0007657F" w:rsidRDefault="0007657F" w:rsidP="0007657F">
      <w:pPr>
        <w:spacing w:after="0" w:line="240" w:lineRule="auto"/>
        <w:rPr>
          <w:rFonts w:ascii="Times New Roman" w:hAnsi="Times New Roman" w:cs="Times New Roman"/>
          <w:b/>
          <w:sz w:val="24"/>
          <w:szCs w:val="24"/>
        </w:rPr>
      </w:pPr>
    </w:p>
    <w:p w14:paraId="3AC28660" w14:textId="77777777" w:rsidR="0007657F" w:rsidRDefault="0007657F" w:rsidP="000765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Background: </w:t>
      </w:r>
      <w:r>
        <w:rPr>
          <w:rFonts w:ascii="Times New Roman" w:hAnsi="Times New Roman" w:cs="Times New Roman"/>
          <w:bCs/>
          <w:sz w:val="24"/>
          <w:szCs w:val="24"/>
        </w:rPr>
        <w:t xml:space="preserve">Severe acute respiratory syndrome coronavirus-2 infected patients experience systemic inflammation and respiratory distress, which appears to be associated with increased cytokine release, as demonstrated by elevated levels of C-reactive protein, D-dimer, and interleukins. During the peak of coronavirus disease 2019 (COVID-19), Northwell Health used tocilizumab to treat critically ill patients with potential cytokine storm. However, tocilizumab has a boxed warning for an increased risk of developing serious infections, such as tuberculosis, invasive fungal infections, bacterial, and viral infections. </w:t>
      </w:r>
    </w:p>
    <w:p w14:paraId="53A9F62D" w14:textId="77777777" w:rsidR="0007657F" w:rsidRDefault="0007657F" w:rsidP="0007657F">
      <w:pPr>
        <w:spacing w:after="0" w:line="240" w:lineRule="auto"/>
        <w:rPr>
          <w:rFonts w:ascii="Times New Roman" w:hAnsi="Times New Roman" w:cs="Times New Roman"/>
          <w:b/>
          <w:sz w:val="24"/>
          <w:szCs w:val="24"/>
        </w:rPr>
      </w:pPr>
    </w:p>
    <w:p w14:paraId="3A560C5E" w14:textId="77777777" w:rsidR="0007657F" w:rsidRDefault="0007657F" w:rsidP="0007657F">
      <w:pPr>
        <w:spacing w:after="0" w:line="240" w:lineRule="auto"/>
        <w:rPr>
          <w:rFonts w:ascii="Times New Roman" w:hAnsi="Times New Roman" w:cs="Times New Roman"/>
          <w:sz w:val="24"/>
          <w:szCs w:val="24"/>
        </w:rPr>
      </w:pPr>
      <w:r>
        <w:rPr>
          <w:rFonts w:ascii="Times New Roman" w:hAnsi="Times New Roman" w:cs="Times New Roman"/>
          <w:b/>
          <w:sz w:val="24"/>
          <w:szCs w:val="24"/>
        </w:rPr>
        <w:t>Objective:</w:t>
      </w:r>
      <w:r>
        <w:rPr>
          <w:rFonts w:ascii="Times New Roman" w:hAnsi="Times New Roman" w:cs="Times New Roman"/>
          <w:sz w:val="24"/>
          <w:szCs w:val="24"/>
        </w:rPr>
        <w:t xml:space="preserve"> The purpose of this study is to describe the antimicrobial prescribing patterns in COVID-19 patients with and without tocilizumab. The primary endpoint is usage of antimicrobials in patients treated with tocilizumab compared to those not treated with tocilizumab, including the antimicrobial coverage prescribed, time to antibiotic use, and days of therapy. The secondary endpoints are development of a secondary infection, type of infection, hospital length of stay, 30 day all-cause mortality, 90 day all-cause mortality, and outcome of secondary infection.</w:t>
      </w:r>
    </w:p>
    <w:p w14:paraId="12253AD5" w14:textId="77777777" w:rsidR="0007657F" w:rsidRDefault="0007657F" w:rsidP="0007657F">
      <w:pPr>
        <w:spacing w:after="0" w:line="240" w:lineRule="auto"/>
        <w:rPr>
          <w:rFonts w:ascii="Times New Roman" w:hAnsi="Times New Roman" w:cs="Times New Roman"/>
          <w:sz w:val="24"/>
          <w:szCs w:val="24"/>
        </w:rPr>
      </w:pPr>
    </w:p>
    <w:p w14:paraId="394EB833" w14:textId="77777777" w:rsidR="0007657F" w:rsidRDefault="0007657F" w:rsidP="0007657F">
      <w:pPr>
        <w:spacing w:after="0" w:line="240" w:lineRule="auto"/>
        <w:rPr>
          <w:rFonts w:ascii="Times New Roman" w:hAnsi="Times New Roman" w:cs="Times New Roman"/>
          <w:sz w:val="24"/>
          <w:szCs w:val="24"/>
        </w:rPr>
      </w:pPr>
      <w:r>
        <w:rPr>
          <w:rFonts w:ascii="Times New Roman" w:hAnsi="Times New Roman" w:cs="Times New Roman"/>
          <w:b/>
          <w:sz w:val="24"/>
          <w:szCs w:val="24"/>
        </w:rPr>
        <w:t>Methods:</w:t>
      </w:r>
      <w:r>
        <w:rPr>
          <w:rFonts w:ascii="Times New Roman" w:hAnsi="Times New Roman" w:cs="Times New Roman"/>
          <w:sz w:val="24"/>
          <w:szCs w:val="24"/>
        </w:rPr>
        <w:t xml:space="preserve"> This retrospective observational chart review has been approved by the Institutional Review Board of Northwell Health and evaluates patients admitted with COVID-19 from March 2020 to November 2020. Patients were included if they were COVID-19 positive and received at least 1 dose of tocilizumab for the treatment group. The control group consisted of patients on remdesivir because similar criteria for supplemental oxygen was required. Antimicrobial prescribing patterns were recorded. </w:t>
      </w:r>
    </w:p>
    <w:p w14:paraId="1BFD468F" w14:textId="77777777" w:rsidR="0007657F" w:rsidRDefault="0007657F" w:rsidP="0007657F">
      <w:pPr>
        <w:spacing w:after="0" w:line="240" w:lineRule="auto"/>
        <w:rPr>
          <w:rFonts w:ascii="Times New Roman" w:hAnsi="Times New Roman" w:cs="Times New Roman"/>
          <w:sz w:val="24"/>
          <w:szCs w:val="24"/>
        </w:rPr>
      </w:pPr>
    </w:p>
    <w:p w14:paraId="5E88A11B" w14:textId="77777777" w:rsidR="0007657F" w:rsidRDefault="0007657F" w:rsidP="0007657F">
      <w:pPr>
        <w:spacing w:after="0" w:line="240" w:lineRule="auto"/>
        <w:rPr>
          <w:rFonts w:ascii="Times New Roman" w:hAnsi="Times New Roman" w:cs="Times New Roman"/>
          <w:sz w:val="24"/>
          <w:szCs w:val="24"/>
        </w:rPr>
      </w:pPr>
      <w:r>
        <w:rPr>
          <w:rFonts w:ascii="Times New Roman" w:hAnsi="Times New Roman" w:cs="Times New Roman"/>
          <w:b/>
          <w:sz w:val="24"/>
          <w:szCs w:val="24"/>
        </w:rPr>
        <w:t>Results:</w:t>
      </w:r>
      <w:r>
        <w:rPr>
          <w:rFonts w:ascii="Times New Roman" w:hAnsi="Times New Roman" w:cs="Times New Roman"/>
          <w:sz w:val="24"/>
          <w:szCs w:val="24"/>
        </w:rPr>
        <w:t xml:space="preserve"> Pending</w:t>
      </w:r>
    </w:p>
    <w:p w14:paraId="3A997BC0" w14:textId="77777777" w:rsidR="0007657F" w:rsidRDefault="0007657F" w:rsidP="0007657F">
      <w:pPr>
        <w:spacing w:after="0" w:line="240" w:lineRule="auto"/>
        <w:rPr>
          <w:rFonts w:ascii="Times New Roman" w:hAnsi="Times New Roman" w:cs="Times New Roman"/>
          <w:sz w:val="24"/>
          <w:szCs w:val="24"/>
        </w:rPr>
      </w:pPr>
    </w:p>
    <w:p w14:paraId="2D2D40A7" w14:textId="77777777" w:rsidR="0007657F" w:rsidRDefault="0007657F" w:rsidP="0007657F">
      <w:pPr>
        <w:spacing w:after="0" w:line="240" w:lineRule="auto"/>
        <w:rPr>
          <w:rFonts w:ascii="Times New Roman" w:hAnsi="Times New Roman" w:cs="Times New Roman"/>
          <w:sz w:val="24"/>
          <w:szCs w:val="24"/>
        </w:rPr>
      </w:pPr>
      <w:r>
        <w:rPr>
          <w:rFonts w:ascii="Times New Roman" w:hAnsi="Times New Roman" w:cs="Times New Roman"/>
          <w:b/>
          <w:sz w:val="24"/>
          <w:szCs w:val="24"/>
        </w:rPr>
        <w:t>Conclusion:</w:t>
      </w:r>
      <w:r>
        <w:rPr>
          <w:rFonts w:ascii="Times New Roman" w:hAnsi="Times New Roman" w:cs="Times New Roman"/>
          <w:sz w:val="24"/>
          <w:szCs w:val="24"/>
        </w:rPr>
        <w:t xml:space="preserve"> Pending</w:t>
      </w:r>
    </w:p>
    <w:p w14:paraId="35326FBE" w14:textId="3C162095" w:rsidR="0007657F" w:rsidRDefault="0007657F" w:rsidP="0007657F"/>
    <w:p w14:paraId="37ECCCC5" w14:textId="127876D7" w:rsidR="0007657F" w:rsidRDefault="0007657F" w:rsidP="0007657F"/>
    <w:p w14:paraId="3273BE58" w14:textId="1D59FE34" w:rsidR="0007657F" w:rsidRDefault="0007657F" w:rsidP="0007657F"/>
    <w:p w14:paraId="2079C844" w14:textId="7B049518" w:rsidR="0007657F" w:rsidRDefault="0007657F" w:rsidP="0007657F"/>
    <w:p w14:paraId="79D8A2FD" w14:textId="06F1CC0F" w:rsidR="0007657F" w:rsidRDefault="0007657F" w:rsidP="0007657F"/>
    <w:p w14:paraId="052E1094" w14:textId="533EA8EC" w:rsidR="0007657F" w:rsidRDefault="0007657F" w:rsidP="0007657F"/>
    <w:p w14:paraId="25E3578D" w14:textId="1DA292B1" w:rsidR="0007657F" w:rsidRDefault="0007657F" w:rsidP="0007657F"/>
    <w:p w14:paraId="00E25B4F" w14:textId="06D5925C" w:rsidR="0007657F" w:rsidRDefault="0007657F" w:rsidP="0007657F"/>
    <w:p w14:paraId="4A5C90CA" w14:textId="5C2B71A8" w:rsidR="0007657F" w:rsidRDefault="0007657F" w:rsidP="0007657F"/>
    <w:p w14:paraId="09B41B24" w14:textId="5D81F723" w:rsidR="0007657F" w:rsidRDefault="0007657F" w:rsidP="0007657F"/>
    <w:p w14:paraId="77EFB411" w14:textId="77777777" w:rsidR="0007657F" w:rsidRDefault="0007657F" w:rsidP="0007657F">
      <w:pPr>
        <w:rPr>
          <w:color w:val="000000" w:themeColor="text1"/>
        </w:rPr>
      </w:pPr>
      <w:r>
        <w:rPr>
          <w:color w:val="000000" w:themeColor="text1"/>
        </w:rPr>
        <w:lastRenderedPageBreak/>
        <w:t>COMPARISON OF ESTIMATES OF VANCOMYCIN AREA-UNDER-THE-CURVE: ACCURACY OF FOUR FREE ONLINE ADAPTIVE VANCOMYCIN DOSING CALCULATORS VERSUS THE LINEAR-LOG TRAPEZOIDAL RULE AND TWO POST-DISTRIBUTIONAL VANCOMYCIN CONCENTRATIONS</w:t>
      </w:r>
    </w:p>
    <w:p w14:paraId="41DBF746" w14:textId="77777777" w:rsidR="0007657F" w:rsidRDefault="0007657F" w:rsidP="0007657F">
      <w:pPr>
        <w:rPr>
          <w:color w:val="000000" w:themeColor="text1"/>
        </w:rPr>
      </w:pPr>
    </w:p>
    <w:p w14:paraId="2EA9FF17" w14:textId="77777777" w:rsidR="0007657F" w:rsidRDefault="0007657F" w:rsidP="0007657F">
      <w:pPr>
        <w:rPr>
          <w:color w:val="000000" w:themeColor="text1"/>
        </w:rPr>
      </w:pPr>
      <w:r>
        <w:rPr>
          <w:color w:val="000000" w:themeColor="text1"/>
          <w:u w:val="single"/>
        </w:rPr>
        <w:t>Belz S</w:t>
      </w:r>
      <w:r>
        <w:rPr>
          <w:color w:val="000000" w:themeColor="text1"/>
        </w:rPr>
        <w:t xml:space="preserve">*, </w:t>
      </w:r>
      <w:r>
        <w:rPr>
          <w:color w:val="000000" w:themeColor="text1"/>
          <w:u w:val="single"/>
        </w:rPr>
        <w:t>Steele J</w:t>
      </w:r>
      <w:r>
        <w:rPr>
          <w:color w:val="000000" w:themeColor="text1"/>
        </w:rPr>
        <w:t xml:space="preserve">, </w:t>
      </w:r>
      <w:r>
        <w:rPr>
          <w:color w:val="000000" w:themeColor="text1"/>
          <w:u w:val="single"/>
        </w:rPr>
        <w:t>Seabury R</w:t>
      </w:r>
      <w:r>
        <w:rPr>
          <w:color w:val="000000" w:themeColor="text1"/>
        </w:rPr>
        <w:t xml:space="preserve">, </w:t>
      </w:r>
      <w:r>
        <w:rPr>
          <w:color w:val="000000" w:themeColor="text1"/>
          <w:u w:val="single"/>
        </w:rPr>
        <w:t>Darko W</w:t>
      </w:r>
      <w:r>
        <w:rPr>
          <w:color w:val="000000" w:themeColor="text1"/>
        </w:rPr>
        <w:t xml:space="preserve">, </w:t>
      </w:r>
      <w:r>
        <w:rPr>
          <w:color w:val="000000" w:themeColor="text1"/>
          <w:u w:val="single"/>
        </w:rPr>
        <w:t>Miller C</w:t>
      </w:r>
      <w:r>
        <w:rPr>
          <w:color w:val="000000" w:themeColor="text1"/>
        </w:rPr>
        <w:t xml:space="preserve">, </w:t>
      </w:r>
      <w:r>
        <w:rPr>
          <w:color w:val="000000" w:themeColor="text1"/>
          <w:u w:val="single"/>
        </w:rPr>
        <w:t>Probst L</w:t>
      </w:r>
    </w:p>
    <w:p w14:paraId="4AABD3D8" w14:textId="77777777" w:rsidR="0007657F" w:rsidRDefault="0007657F" w:rsidP="0007657F">
      <w:pPr>
        <w:rPr>
          <w:color w:val="000000" w:themeColor="text1"/>
        </w:rPr>
      </w:pPr>
    </w:p>
    <w:p w14:paraId="3CEAF20A" w14:textId="77777777" w:rsidR="0007657F" w:rsidRDefault="0007657F" w:rsidP="0007657F">
      <w:pPr>
        <w:rPr>
          <w:color w:val="000000" w:themeColor="text1"/>
        </w:rPr>
      </w:pPr>
      <w:r>
        <w:rPr>
          <w:color w:val="000000" w:themeColor="text1"/>
        </w:rPr>
        <w:t>Upstate University Hospital, 750 E Adams St, Syracuse NY 13210</w:t>
      </w:r>
    </w:p>
    <w:p w14:paraId="1C544B0B" w14:textId="77777777" w:rsidR="0007657F" w:rsidRDefault="0007657F" w:rsidP="0007657F">
      <w:pPr>
        <w:rPr>
          <w:color w:val="000000" w:themeColor="text1"/>
        </w:rPr>
      </w:pPr>
    </w:p>
    <w:p w14:paraId="68CF9D91" w14:textId="77777777" w:rsidR="0007657F" w:rsidRDefault="0007657F" w:rsidP="0007657F">
      <w:pPr>
        <w:pStyle w:val="NormalWeb"/>
        <w:shd w:val="clear" w:color="auto" w:fill="FFFFFF"/>
        <w:rPr>
          <w:b/>
          <w:bCs/>
          <w:color w:val="000000" w:themeColor="text1"/>
        </w:rPr>
      </w:pPr>
      <w:r>
        <w:rPr>
          <w:b/>
          <w:bCs/>
          <w:color w:val="000000" w:themeColor="text1"/>
        </w:rPr>
        <w:t>Background:</w:t>
      </w:r>
      <w:r>
        <w:rPr>
          <w:color w:val="000000" w:themeColor="text1"/>
        </w:rPr>
        <w:t xml:space="preserve"> The revised consensus guidelines for vancomycin monitoring recommend monitoring area-under-the-curve (AUC) in patients with methicillin-resistant </w:t>
      </w:r>
      <w:r>
        <w:rPr>
          <w:i/>
          <w:iCs/>
          <w:color w:val="000000" w:themeColor="text1"/>
        </w:rPr>
        <w:t>Staphylococcal aureus</w:t>
      </w:r>
      <w:r>
        <w:rPr>
          <w:color w:val="000000" w:themeColor="text1"/>
        </w:rPr>
        <w:t>​ (MRSA) infections. AUC can be estimated using Bayesian dosing software or the linear-log trapezoidal rule and two post-distributional vancomycin concentrations.</w:t>
      </w:r>
    </w:p>
    <w:p w14:paraId="7FDCA2D5" w14:textId="77777777" w:rsidR="0007657F" w:rsidRDefault="0007657F" w:rsidP="0007657F">
      <w:pPr>
        <w:pStyle w:val="NormalWeb"/>
        <w:shd w:val="clear" w:color="auto" w:fill="FFFFFF"/>
        <w:rPr>
          <w:b/>
          <w:bCs/>
          <w:color w:val="000000" w:themeColor="text1"/>
        </w:rPr>
      </w:pPr>
      <w:r>
        <w:rPr>
          <w:b/>
          <w:bCs/>
          <w:color w:val="000000" w:themeColor="text1"/>
        </w:rPr>
        <w:t xml:space="preserve">Objective: </w:t>
      </w:r>
      <w:r>
        <w:rPr>
          <w:color w:val="000000" w:themeColor="text1"/>
        </w:rPr>
        <w:t>This study sough to assess the accuracy of the vancomycin AUC estimates from four free online adaptive vancomycin dosing calculators versus the linear-log trapezoidal rule and two post-distributional vancomycin concentrations (reference method).</w:t>
      </w:r>
    </w:p>
    <w:p w14:paraId="4E5FB971" w14:textId="77777777" w:rsidR="0007657F" w:rsidRDefault="0007657F" w:rsidP="0007657F">
      <w:pPr>
        <w:rPr>
          <w:color w:val="000000" w:themeColor="text1"/>
        </w:rPr>
      </w:pPr>
      <w:r>
        <w:rPr>
          <w:b/>
          <w:bCs/>
          <w:color w:val="000000" w:themeColor="text1"/>
        </w:rPr>
        <w:t xml:space="preserve">Methods: </w:t>
      </w:r>
      <w:r>
        <w:rPr>
          <w:color w:val="000000" w:themeColor="text1"/>
        </w:rPr>
        <w:t xml:space="preserve">This retrospective cohort study was granted exempt status by the Institutional Review Board. Included patients had a vancomycin AUC calculated using the reference method and additional vancomycin AUCs were estimated using patient specific information and the four free online adaptive vancomycin dosing calculators from ClinCalc.com (CC), TDMx, VancoPK.com (VPK), and Detroit Medical Center (DMC). Accuracy was calculated by dividing the calculator AUC by the reference AUC. </w:t>
      </w:r>
    </w:p>
    <w:p w14:paraId="495A0BD4" w14:textId="77777777" w:rsidR="0007657F" w:rsidRDefault="0007657F" w:rsidP="0007657F">
      <w:pPr>
        <w:pStyle w:val="NormalWeb"/>
        <w:rPr>
          <w:color w:val="000000" w:themeColor="text1"/>
        </w:rPr>
      </w:pPr>
      <w:r>
        <w:rPr>
          <w:b/>
          <w:bCs/>
          <w:color w:val="000000" w:themeColor="text1"/>
        </w:rPr>
        <w:t xml:space="preserve">Results: </w:t>
      </w:r>
      <w:r>
        <w:rPr>
          <w:color w:val="000000" w:themeColor="text1"/>
        </w:rPr>
        <w:t>To date we have estimated the vancomycin AUCs of 61 patients. Preliminary median (IQR) accuracy of the adaptive vancomycin calculators versus the reference method was: VPK: 1.01 (0.77 – 1.14); DMC: 1.02 (0.82 – 1.30); TDMx: 0.95 (0.76 – 1.23); and CC: 0.86 (0.69 – 1.00).</w:t>
      </w:r>
    </w:p>
    <w:p w14:paraId="1E848D73" w14:textId="77777777" w:rsidR="0007657F" w:rsidRDefault="0007657F" w:rsidP="0007657F">
      <w:pPr>
        <w:pStyle w:val="NormalWeb"/>
        <w:rPr>
          <w:color w:val="000000" w:themeColor="text1"/>
        </w:rPr>
      </w:pPr>
      <w:r>
        <w:rPr>
          <w:b/>
          <w:bCs/>
          <w:color w:val="000000" w:themeColor="text1"/>
        </w:rPr>
        <w:t xml:space="preserve">Conclusion: </w:t>
      </w:r>
      <w:r>
        <w:rPr>
          <w:color w:val="000000" w:themeColor="text1"/>
        </w:rPr>
        <w:t>A preliminary analysis showed that all four free online adaptive vancomycin dosing calculators had good accuracy versus the reference method for estimating vancomycin AUC; VPK appeared to have the best accuracy. Data collection and analysis are ongoing, the final results and conclusion will be presented at the NYSCHP Residency Research and Practice Forum.</w:t>
      </w:r>
    </w:p>
    <w:p w14:paraId="5DF2E95B" w14:textId="5E33288D" w:rsidR="0007657F" w:rsidRDefault="0007657F" w:rsidP="0007657F"/>
    <w:p w14:paraId="6BA796C4" w14:textId="174FCC79" w:rsidR="0007657F" w:rsidRDefault="0007657F" w:rsidP="0007657F"/>
    <w:p w14:paraId="6B640DC1" w14:textId="7870901C" w:rsidR="0007657F" w:rsidRDefault="0007657F" w:rsidP="0007657F"/>
    <w:p w14:paraId="11556AB3" w14:textId="14EB177E" w:rsidR="0007657F" w:rsidRDefault="0007657F" w:rsidP="0007657F"/>
    <w:p w14:paraId="19F0F4AC" w14:textId="4BE7314B" w:rsidR="0007657F" w:rsidRDefault="0007657F" w:rsidP="0007657F"/>
    <w:p w14:paraId="5B77634C" w14:textId="77777777" w:rsidR="0007657F" w:rsidRDefault="0007657F" w:rsidP="0007657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EVALUATION OF ORAL ANTINEOPLASTIC AGENTS ADHERENCE AND EDUCATION</w:t>
      </w:r>
    </w:p>
    <w:p w14:paraId="0E294F93" w14:textId="77777777" w:rsidR="0007657F" w:rsidRDefault="0007657F" w:rsidP="0007657F">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Bevinetto A</w:t>
      </w:r>
      <w:r>
        <w:rPr>
          <w:rFonts w:ascii="Times New Roman" w:hAnsi="Times New Roman" w:cs="Times New Roman"/>
          <w:sz w:val="24"/>
          <w:szCs w:val="24"/>
        </w:rPr>
        <w:t xml:space="preserve">*, </w:t>
      </w:r>
      <w:r>
        <w:rPr>
          <w:rFonts w:ascii="Times New Roman" w:hAnsi="Times New Roman" w:cs="Times New Roman"/>
          <w:sz w:val="24"/>
          <w:szCs w:val="24"/>
          <w:u w:val="single"/>
        </w:rPr>
        <w:t>Chin J</w:t>
      </w:r>
    </w:p>
    <w:p w14:paraId="61DE82A2" w14:textId="77777777" w:rsidR="0007657F" w:rsidRDefault="0007657F" w:rsidP="0007657F">
      <w:pPr>
        <w:spacing w:line="240" w:lineRule="auto"/>
        <w:rPr>
          <w:rFonts w:ascii="Times New Roman" w:hAnsi="Times New Roman" w:cs="Times New Roman"/>
          <w:sz w:val="24"/>
          <w:szCs w:val="24"/>
        </w:rPr>
      </w:pPr>
      <w:r>
        <w:rPr>
          <w:rFonts w:ascii="Times New Roman" w:hAnsi="Times New Roman" w:cs="Times New Roman"/>
          <w:sz w:val="24"/>
          <w:szCs w:val="24"/>
        </w:rPr>
        <w:t>NYU Langone Hospital—Long Island, 259 First St, Mineola NY 11501</w:t>
      </w:r>
    </w:p>
    <w:p w14:paraId="30465E97" w14:textId="77777777" w:rsidR="0007657F" w:rsidRDefault="0007657F" w:rsidP="0007657F">
      <w:pPr>
        <w:spacing w:line="240" w:lineRule="auto"/>
        <w:rPr>
          <w:rFonts w:ascii="Times New Roman" w:hAnsi="Times New Roman" w:cs="Times New Roman"/>
          <w:b/>
          <w:sz w:val="24"/>
          <w:szCs w:val="24"/>
        </w:rPr>
      </w:pPr>
    </w:p>
    <w:p w14:paraId="16A78340" w14:textId="77777777" w:rsidR="0007657F" w:rsidRDefault="0007657F" w:rsidP="0007657F">
      <w:pPr>
        <w:spacing w:line="240" w:lineRule="auto"/>
        <w:rPr>
          <w:rFonts w:ascii="Times New Roman" w:hAnsi="Times New Roman" w:cs="Times New Roman"/>
          <w:sz w:val="24"/>
          <w:szCs w:val="24"/>
        </w:rPr>
      </w:pPr>
      <w:r>
        <w:rPr>
          <w:rFonts w:ascii="Times New Roman" w:hAnsi="Times New Roman" w:cs="Times New Roman"/>
          <w:b/>
          <w:sz w:val="24"/>
          <w:szCs w:val="24"/>
        </w:rPr>
        <w:t>Background</w:t>
      </w:r>
      <w:r>
        <w:rPr>
          <w:rFonts w:ascii="Times New Roman" w:hAnsi="Times New Roman" w:cs="Times New Roman"/>
          <w:sz w:val="24"/>
          <w:szCs w:val="24"/>
        </w:rPr>
        <w:t>:</w:t>
      </w:r>
      <w:r>
        <w:t xml:space="preserve"> </w:t>
      </w:r>
      <w:r>
        <w:rPr>
          <w:rFonts w:ascii="Times New Roman" w:hAnsi="Times New Roman" w:cs="Times New Roman"/>
          <w:sz w:val="24"/>
          <w:szCs w:val="24"/>
        </w:rPr>
        <w:t xml:space="preserve">Although patients can conveniently take oral antineoplastic agents at home, patients still require laboratory monitoring and physical assessments to monitor therapy. Previous studies have demonstrated a negative correlation between the incidence of medication side effects and adherence. </w:t>
      </w:r>
    </w:p>
    <w:p w14:paraId="3362F129" w14:textId="77777777" w:rsidR="0007657F" w:rsidRDefault="0007657F" w:rsidP="0007657F">
      <w:pPr>
        <w:spacing w:line="240" w:lineRule="auto"/>
        <w:rPr>
          <w:rFonts w:ascii="Times New Roman" w:hAnsi="Times New Roman" w:cs="Times New Roman"/>
          <w:sz w:val="24"/>
          <w:szCs w:val="24"/>
        </w:rPr>
      </w:pPr>
      <w:r>
        <w:rPr>
          <w:rFonts w:ascii="Times New Roman" w:hAnsi="Times New Roman" w:cs="Times New Roman"/>
          <w:b/>
          <w:sz w:val="24"/>
          <w:szCs w:val="24"/>
        </w:rPr>
        <w:t>Objective</w:t>
      </w:r>
      <w:r>
        <w:rPr>
          <w:rFonts w:ascii="Times New Roman" w:hAnsi="Times New Roman" w:cs="Times New Roman"/>
          <w:sz w:val="24"/>
          <w:szCs w:val="24"/>
        </w:rPr>
        <w:t>: The primary objective is to observe the relationship between subjective side effect rating and adherence to oral antineoplastic agents. The secondary objective is to observe hospital admission or readmission after a pharmacist initiated survey and education.</w:t>
      </w:r>
    </w:p>
    <w:p w14:paraId="75CA9399" w14:textId="77777777" w:rsidR="0007657F" w:rsidRDefault="0007657F" w:rsidP="0007657F">
      <w:pPr>
        <w:spacing w:line="240" w:lineRule="auto"/>
        <w:rPr>
          <w:rFonts w:ascii="Times New Roman" w:hAnsi="Times New Roman" w:cs="Times New Roman"/>
          <w:sz w:val="24"/>
          <w:szCs w:val="24"/>
        </w:rPr>
      </w:pPr>
      <w:r>
        <w:rPr>
          <w:rFonts w:ascii="Times New Roman" w:hAnsi="Times New Roman" w:cs="Times New Roman"/>
          <w:b/>
          <w:sz w:val="24"/>
          <w:szCs w:val="24"/>
        </w:rPr>
        <w:t>Methods</w:t>
      </w:r>
      <w:r>
        <w:rPr>
          <w:rFonts w:ascii="Times New Roman" w:hAnsi="Times New Roman" w:cs="Times New Roman"/>
          <w:sz w:val="24"/>
          <w:szCs w:val="24"/>
        </w:rPr>
        <w:t xml:space="preserve">: Patients receiving oral antineoplastic agents were identified in the inpatient and infusion center setting. A survey was conducted to assess patient adherence and reported side effects. Patient counseling and chemotherapy education was provided as needed. </w:t>
      </w:r>
    </w:p>
    <w:p w14:paraId="778D4F63" w14:textId="77777777" w:rsidR="0007657F" w:rsidRDefault="0007657F" w:rsidP="0007657F">
      <w:pPr>
        <w:spacing w:line="240" w:lineRule="auto"/>
        <w:rPr>
          <w:rFonts w:ascii="Times New Roman" w:hAnsi="Times New Roman" w:cs="Times New Roman"/>
          <w:sz w:val="24"/>
          <w:szCs w:val="24"/>
        </w:rPr>
      </w:pPr>
      <w:r>
        <w:rPr>
          <w:rFonts w:ascii="Times New Roman" w:hAnsi="Times New Roman" w:cs="Times New Roman"/>
          <w:b/>
          <w:sz w:val="24"/>
          <w:szCs w:val="24"/>
        </w:rPr>
        <w:t>Results</w:t>
      </w:r>
      <w:r>
        <w:rPr>
          <w:rFonts w:ascii="Times New Roman" w:hAnsi="Times New Roman" w:cs="Times New Roman"/>
          <w:sz w:val="24"/>
          <w:szCs w:val="24"/>
        </w:rPr>
        <w:t>: A total of 94 patients were identified and reviewed. Interviews were conducted for 43 patients. The median age was 71.5 years. The most common form of cancer was breast cancer (31.9%), and hormonal chemotherapy was the most common antineoplastic class taken by this cohort (38.3%). Eleven patients (25.6%) reported missing doses, with 6 of these patients (14%) reporting missing more than one dose in one week. In patients with poor adherence, the average side effect rating was 1.4 out of 5. Of all patients who rated their side effects 3 or greater (8 patients), 3 patients (37.5%) were non-adherent. Five patients (11.6%) had a recurring readmission within 60 days after the initial encounter, with this group separately analyzed to have an average side effect rating of 1.2.</w:t>
      </w:r>
    </w:p>
    <w:p w14:paraId="032B7E15" w14:textId="77777777" w:rsidR="0007657F" w:rsidRDefault="0007657F" w:rsidP="0007657F">
      <w:pPr>
        <w:spacing w:line="240" w:lineRule="auto"/>
        <w:rPr>
          <w:rFonts w:ascii="Times New Roman" w:hAnsi="Times New Roman" w:cs="Times New Roman"/>
          <w:sz w:val="24"/>
          <w:szCs w:val="24"/>
        </w:rPr>
      </w:pPr>
      <w:r>
        <w:rPr>
          <w:rFonts w:ascii="Times New Roman" w:hAnsi="Times New Roman" w:cs="Times New Roman"/>
          <w:b/>
          <w:sz w:val="24"/>
          <w:szCs w:val="24"/>
        </w:rPr>
        <w:t>Conclusions</w:t>
      </w:r>
      <w:r>
        <w:rPr>
          <w:rFonts w:ascii="Times New Roman" w:hAnsi="Times New Roman" w:cs="Times New Roman"/>
          <w:sz w:val="24"/>
          <w:szCs w:val="24"/>
        </w:rPr>
        <w:t>: Patients with a higher side effect rating showed lower adherence.</w:t>
      </w:r>
    </w:p>
    <w:p w14:paraId="7F5AD6AB" w14:textId="36909B82" w:rsidR="0007657F" w:rsidRDefault="0007657F" w:rsidP="0007657F"/>
    <w:p w14:paraId="64AAA6B0" w14:textId="01C9A454" w:rsidR="0007657F" w:rsidRDefault="0007657F" w:rsidP="0007657F"/>
    <w:p w14:paraId="2FB1DDB1" w14:textId="5592AB77" w:rsidR="0007657F" w:rsidRDefault="0007657F" w:rsidP="0007657F"/>
    <w:p w14:paraId="76C8CEBE" w14:textId="10B0390D" w:rsidR="0007657F" w:rsidRDefault="0007657F" w:rsidP="0007657F"/>
    <w:p w14:paraId="53895C19" w14:textId="579F03A5" w:rsidR="0007657F" w:rsidRDefault="0007657F" w:rsidP="0007657F"/>
    <w:p w14:paraId="0A5BC59C" w14:textId="7DB89E07" w:rsidR="0007657F" w:rsidRDefault="0007657F" w:rsidP="0007657F"/>
    <w:p w14:paraId="2E9360C4" w14:textId="66F3FA2B" w:rsidR="0007657F" w:rsidRDefault="0007657F" w:rsidP="0007657F"/>
    <w:p w14:paraId="38D141F3" w14:textId="4EDBEA8F" w:rsidR="0007657F" w:rsidRDefault="0007657F" w:rsidP="0007657F"/>
    <w:p w14:paraId="65C23D46" w14:textId="67B591A6" w:rsidR="0007657F" w:rsidRDefault="0007657F" w:rsidP="0007657F"/>
    <w:p w14:paraId="3BA18ABC" w14:textId="3F542AAF" w:rsidR="0007657F" w:rsidRDefault="0007657F" w:rsidP="0007657F"/>
    <w:p w14:paraId="1AF653FE" w14:textId="7700F7A2" w:rsidR="0007657F" w:rsidRDefault="0007657F" w:rsidP="0007657F"/>
    <w:p w14:paraId="0B2E9AD5" w14:textId="77777777" w:rsidR="0007657F" w:rsidRDefault="0007657F" w:rsidP="0007657F">
      <w:pPr>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EVALUATION OF ANTICOAGULATION SAFETY &amp; EFFICACY POST-HOSPITALIZATION IN COVID-19 PATIENTS: AN OBSERVATIONAL STUDY</w:t>
      </w:r>
    </w:p>
    <w:p w14:paraId="15F68A30" w14:textId="77777777" w:rsidR="0007657F" w:rsidRDefault="0007657F" w:rsidP="0007657F">
      <w:pPr>
        <w:spacing w:after="0" w:line="240" w:lineRule="auto"/>
        <w:rPr>
          <w:rFonts w:ascii="Times New Roman" w:hAnsi="Times New Roman" w:cs="Times New Roman"/>
          <w:bCs/>
          <w:sz w:val="24"/>
          <w:szCs w:val="24"/>
        </w:rPr>
      </w:pPr>
      <w:r>
        <w:rPr>
          <w:rFonts w:ascii="Times New Roman" w:hAnsi="Times New Roman" w:cs="Times New Roman"/>
          <w:bCs/>
          <w:sz w:val="24"/>
          <w:szCs w:val="24"/>
          <w:u w:val="single"/>
        </w:rPr>
        <w:t>Bourne L*</w:t>
      </w:r>
      <w:r>
        <w:rPr>
          <w:rFonts w:ascii="Times New Roman" w:hAnsi="Times New Roman" w:cs="Times New Roman"/>
          <w:bCs/>
          <w:sz w:val="24"/>
          <w:szCs w:val="24"/>
        </w:rPr>
        <w:t xml:space="preserve">, </w:t>
      </w:r>
      <w:r>
        <w:rPr>
          <w:rFonts w:ascii="Times New Roman" w:hAnsi="Times New Roman" w:cs="Times New Roman"/>
          <w:bCs/>
          <w:sz w:val="24"/>
          <w:szCs w:val="24"/>
          <w:u w:val="single"/>
        </w:rPr>
        <w:t>Sharabun M</w:t>
      </w:r>
      <w:r>
        <w:rPr>
          <w:rFonts w:ascii="Times New Roman" w:hAnsi="Times New Roman" w:cs="Times New Roman"/>
          <w:bCs/>
          <w:sz w:val="24"/>
          <w:szCs w:val="24"/>
        </w:rPr>
        <w:t xml:space="preserve">, </w:t>
      </w:r>
      <w:r>
        <w:rPr>
          <w:rFonts w:ascii="Times New Roman" w:hAnsi="Times New Roman" w:cs="Times New Roman"/>
          <w:bCs/>
          <w:sz w:val="24"/>
          <w:szCs w:val="24"/>
          <w:u w:val="single"/>
        </w:rPr>
        <w:t>Huggins C</w:t>
      </w:r>
      <w:r>
        <w:rPr>
          <w:rFonts w:ascii="Times New Roman" w:hAnsi="Times New Roman" w:cs="Times New Roman"/>
          <w:bCs/>
          <w:sz w:val="24"/>
          <w:szCs w:val="24"/>
        </w:rPr>
        <w:t xml:space="preserve">, </w:t>
      </w:r>
      <w:r>
        <w:rPr>
          <w:rFonts w:ascii="Times New Roman" w:hAnsi="Times New Roman" w:cs="Times New Roman"/>
          <w:bCs/>
          <w:sz w:val="24"/>
          <w:szCs w:val="24"/>
          <w:u w:val="single"/>
        </w:rPr>
        <w:t>Schiller L</w:t>
      </w:r>
    </w:p>
    <w:p w14:paraId="2E201EBE" w14:textId="77777777" w:rsidR="0007657F" w:rsidRDefault="0007657F" w:rsidP="0007657F">
      <w:pPr>
        <w:spacing w:after="0" w:line="240" w:lineRule="auto"/>
        <w:rPr>
          <w:rFonts w:ascii="Times New Roman" w:hAnsi="Times New Roman" w:cs="Times New Roman"/>
          <w:bCs/>
          <w:sz w:val="24"/>
          <w:szCs w:val="24"/>
        </w:rPr>
      </w:pPr>
    </w:p>
    <w:p w14:paraId="2148278E" w14:textId="77777777" w:rsidR="0007657F" w:rsidRDefault="0007657F" w:rsidP="0007657F">
      <w:pPr>
        <w:spacing w:after="0" w:line="240" w:lineRule="auto"/>
        <w:rPr>
          <w:rFonts w:ascii="Times New Roman" w:hAnsi="Times New Roman" w:cs="Times New Roman"/>
          <w:bCs/>
          <w:sz w:val="24"/>
          <w:szCs w:val="24"/>
        </w:rPr>
      </w:pPr>
      <w:r>
        <w:rPr>
          <w:rFonts w:ascii="Times New Roman" w:hAnsi="Times New Roman" w:cs="Times New Roman"/>
          <w:bCs/>
          <w:sz w:val="24"/>
          <w:szCs w:val="24"/>
        </w:rPr>
        <w:t>BronxCare Health System, 1650 Grand Concourse Bronx, NY 10457</w:t>
      </w:r>
    </w:p>
    <w:p w14:paraId="682245D4" w14:textId="77777777" w:rsidR="0007657F" w:rsidRDefault="0007657F" w:rsidP="0007657F">
      <w:pPr>
        <w:spacing w:after="0" w:line="240" w:lineRule="auto"/>
        <w:rPr>
          <w:rFonts w:ascii="Times New Roman" w:hAnsi="Times New Roman" w:cs="Times New Roman"/>
          <w:b/>
          <w:sz w:val="24"/>
          <w:szCs w:val="24"/>
        </w:rPr>
      </w:pPr>
    </w:p>
    <w:p w14:paraId="05DDCEA7" w14:textId="77777777" w:rsidR="0007657F" w:rsidRDefault="0007657F" w:rsidP="0007657F">
      <w:pPr>
        <w:spacing w:after="0" w:line="240" w:lineRule="auto"/>
        <w:rPr>
          <w:rFonts w:ascii="Times New Roman" w:hAnsi="Times New Roman" w:cs="Times New Roman"/>
          <w:sz w:val="24"/>
          <w:szCs w:val="24"/>
        </w:rPr>
      </w:pPr>
      <w:r>
        <w:rPr>
          <w:rFonts w:ascii="Times New Roman" w:hAnsi="Times New Roman" w:cs="Times New Roman"/>
          <w:b/>
          <w:sz w:val="24"/>
          <w:szCs w:val="24"/>
        </w:rPr>
        <w:t>Background</w:t>
      </w:r>
      <w:r>
        <w:rPr>
          <w:rFonts w:ascii="Times New Roman" w:hAnsi="Times New Roman" w:cs="Times New Roman"/>
          <w:sz w:val="24"/>
          <w:szCs w:val="24"/>
        </w:rPr>
        <w:t>: Thromboembolic events are a profound complication in patients infected with the novel coronavirus (COVID-19, SARS-CoV) that has prompted clinicians to treat COVID-19 patients with thromboprophylaxis or therapeutic anticoagulation. The Journal of the American College of Cardiology (JACC) 2020 guidelines on COVID-19 and Thrombotic or Thromboembolic Disease state that it is reasonable for patients at high risk for thrombotic events to be discharged with pharmacologic prophylaxis for up to 45 days post-discharge; however, there is little guidance on how to approach patient follow-up. We aim to assess the frequency of follow-up visits for COVID-19 positive patients who were discharged with anticoagulation for the safety of therapy.</w:t>
      </w:r>
    </w:p>
    <w:p w14:paraId="294DA114" w14:textId="77777777" w:rsidR="0007657F" w:rsidRDefault="0007657F" w:rsidP="0007657F">
      <w:pPr>
        <w:spacing w:after="0" w:line="240" w:lineRule="auto"/>
        <w:rPr>
          <w:rFonts w:ascii="Times New Roman" w:hAnsi="Times New Roman" w:cs="Times New Roman"/>
          <w:sz w:val="24"/>
          <w:szCs w:val="24"/>
        </w:rPr>
      </w:pPr>
    </w:p>
    <w:p w14:paraId="22294FE3" w14:textId="77777777" w:rsidR="0007657F" w:rsidRDefault="0007657F" w:rsidP="0007657F">
      <w:pPr>
        <w:spacing w:after="0" w:line="240" w:lineRule="auto"/>
        <w:rPr>
          <w:rFonts w:ascii="Times New Roman" w:hAnsi="Times New Roman" w:cs="Times New Roman"/>
          <w:bCs/>
          <w:sz w:val="24"/>
          <w:szCs w:val="24"/>
        </w:rPr>
      </w:pPr>
      <w:r>
        <w:rPr>
          <w:rFonts w:ascii="Times New Roman" w:hAnsi="Times New Roman" w:cs="Times New Roman"/>
          <w:b/>
          <w:bCs/>
          <w:sz w:val="24"/>
          <w:szCs w:val="24"/>
        </w:rPr>
        <w:t>Objectives</w:t>
      </w:r>
      <w:r>
        <w:rPr>
          <w:rFonts w:ascii="Times New Roman" w:hAnsi="Times New Roman" w:cs="Times New Roman"/>
          <w:bCs/>
          <w:sz w:val="24"/>
          <w:szCs w:val="24"/>
        </w:rPr>
        <w:t xml:space="preserve">:  </w:t>
      </w:r>
    </w:p>
    <w:p w14:paraId="25EA8637" w14:textId="77777777" w:rsidR="0007657F" w:rsidRDefault="0007657F" w:rsidP="0007657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To assess the frequency of follow-up visits for COVID-19 positive patients who were discharged with anticoagulation</w:t>
      </w:r>
    </w:p>
    <w:p w14:paraId="312BC226" w14:textId="77777777" w:rsidR="0007657F" w:rsidRDefault="0007657F" w:rsidP="0007657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To evaluate the safety of anticoagulation in COVID-19 patients post-discharge</w:t>
      </w:r>
    </w:p>
    <w:p w14:paraId="76C4014B" w14:textId="77777777" w:rsidR="0007657F" w:rsidRDefault="0007657F" w:rsidP="0007657F">
      <w:pPr>
        <w:pStyle w:val="ListParagraph"/>
        <w:spacing w:after="0" w:line="240" w:lineRule="auto"/>
        <w:rPr>
          <w:rFonts w:ascii="Times New Roman" w:hAnsi="Times New Roman" w:cs="Times New Roman"/>
          <w:sz w:val="24"/>
          <w:szCs w:val="24"/>
        </w:rPr>
      </w:pPr>
    </w:p>
    <w:p w14:paraId="5872A41D" w14:textId="77777777" w:rsidR="0007657F" w:rsidRDefault="0007657F" w:rsidP="0007657F">
      <w:pPr>
        <w:spacing w:after="0" w:line="240" w:lineRule="auto"/>
        <w:rPr>
          <w:rFonts w:ascii="Times New Roman" w:hAnsi="Times New Roman" w:cs="Times New Roman"/>
          <w:sz w:val="24"/>
          <w:szCs w:val="24"/>
        </w:rPr>
      </w:pPr>
      <w:r>
        <w:rPr>
          <w:rFonts w:ascii="Times New Roman" w:hAnsi="Times New Roman" w:cs="Times New Roman"/>
          <w:b/>
          <w:sz w:val="24"/>
          <w:szCs w:val="24"/>
        </w:rPr>
        <w:t>Methods</w:t>
      </w:r>
      <w:r>
        <w:rPr>
          <w:rFonts w:ascii="Times New Roman" w:hAnsi="Times New Roman" w:cs="Times New Roman"/>
          <w:sz w:val="24"/>
          <w:szCs w:val="24"/>
        </w:rPr>
        <w:t xml:space="preserve">: This study was approved by the institutional review board at BronxCare Health System (BCHS). It is a retrospective chart review of adult patients who were admitted to BCHS, tested positive for COVID-19, and were discharged with anticoagulation therapy such as enoxaparin, warfarin, apixaban, rivaroxaban, or dabigatran for COVID-19-related thrombotic events or thromboprophylaxis from March to June 2020. We will use the electronic medical records to assess whether patients were scheduled for follow-up visit, attended follow-up visit, and identify any anticoagulation-related adverse events documented in patient charts or emergency department visits. </w:t>
      </w:r>
    </w:p>
    <w:p w14:paraId="410ECEC4" w14:textId="77777777" w:rsidR="0007657F" w:rsidRDefault="0007657F" w:rsidP="0007657F">
      <w:pPr>
        <w:spacing w:after="0" w:line="240" w:lineRule="auto"/>
        <w:rPr>
          <w:rFonts w:ascii="Times New Roman" w:hAnsi="Times New Roman" w:cs="Times New Roman"/>
          <w:sz w:val="24"/>
          <w:szCs w:val="24"/>
        </w:rPr>
      </w:pPr>
    </w:p>
    <w:p w14:paraId="701F140F" w14:textId="77777777" w:rsidR="0007657F" w:rsidRDefault="0007657F" w:rsidP="0007657F">
      <w:pPr>
        <w:spacing w:after="0" w:line="240" w:lineRule="auto"/>
        <w:rPr>
          <w:rFonts w:ascii="Times New Roman" w:hAnsi="Times New Roman" w:cs="Times New Roman"/>
          <w:sz w:val="24"/>
          <w:szCs w:val="24"/>
        </w:rPr>
      </w:pPr>
      <w:r>
        <w:rPr>
          <w:rFonts w:ascii="Times New Roman" w:hAnsi="Times New Roman" w:cs="Times New Roman"/>
          <w:b/>
          <w:sz w:val="24"/>
          <w:szCs w:val="24"/>
        </w:rPr>
        <w:t>Results</w:t>
      </w:r>
      <w:r>
        <w:rPr>
          <w:rFonts w:ascii="Times New Roman" w:hAnsi="Times New Roman" w:cs="Times New Roman"/>
          <w:sz w:val="24"/>
          <w:szCs w:val="24"/>
        </w:rPr>
        <w:t>:  Data collection in progress</w:t>
      </w:r>
    </w:p>
    <w:p w14:paraId="73518200" w14:textId="77777777" w:rsidR="0007657F" w:rsidRDefault="0007657F" w:rsidP="0007657F">
      <w:pPr>
        <w:spacing w:after="0" w:line="240" w:lineRule="auto"/>
        <w:rPr>
          <w:rFonts w:ascii="Times New Roman" w:hAnsi="Times New Roman" w:cs="Times New Roman"/>
          <w:sz w:val="24"/>
          <w:szCs w:val="24"/>
        </w:rPr>
      </w:pPr>
    </w:p>
    <w:p w14:paraId="7B29032D" w14:textId="61F93303" w:rsidR="0007657F" w:rsidRDefault="0007657F" w:rsidP="0007657F">
      <w:pPr>
        <w:rPr>
          <w:rFonts w:ascii="Times New Roman" w:hAnsi="Times New Roman" w:cs="Times New Roman"/>
          <w:sz w:val="24"/>
          <w:szCs w:val="24"/>
        </w:rPr>
      </w:pPr>
      <w:r>
        <w:rPr>
          <w:rFonts w:ascii="Times New Roman" w:hAnsi="Times New Roman" w:cs="Times New Roman"/>
          <w:b/>
          <w:sz w:val="24"/>
          <w:szCs w:val="24"/>
        </w:rPr>
        <w:t>Conclusions</w:t>
      </w:r>
      <w:r>
        <w:rPr>
          <w:rFonts w:ascii="Times New Roman" w:hAnsi="Times New Roman" w:cs="Times New Roman"/>
          <w:sz w:val="24"/>
          <w:szCs w:val="24"/>
        </w:rPr>
        <w:t>:  In progress</w:t>
      </w:r>
    </w:p>
    <w:p w14:paraId="3026E23E" w14:textId="5EC22A6E" w:rsidR="0007657F" w:rsidRDefault="0007657F" w:rsidP="0007657F">
      <w:pPr>
        <w:rPr>
          <w:rFonts w:ascii="Times New Roman" w:hAnsi="Times New Roman" w:cs="Times New Roman"/>
          <w:sz w:val="24"/>
          <w:szCs w:val="24"/>
        </w:rPr>
      </w:pPr>
    </w:p>
    <w:p w14:paraId="59E2A9DB" w14:textId="679B25FA" w:rsidR="0007657F" w:rsidRDefault="0007657F" w:rsidP="0007657F">
      <w:pPr>
        <w:rPr>
          <w:rFonts w:ascii="Times New Roman" w:hAnsi="Times New Roman" w:cs="Times New Roman"/>
          <w:sz w:val="24"/>
          <w:szCs w:val="24"/>
        </w:rPr>
      </w:pPr>
    </w:p>
    <w:p w14:paraId="460CC57B" w14:textId="7300DB78" w:rsidR="0007657F" w:rsidRDefault="0007657F" w:rsidP="0007657F">
      <w:pPr>
        <w:rPr>
          <w:rFonts w:ascii="Times New Roman" w:hAnsi="Times New Roman" w:cs="Times New Roman"/>
          <w:sz w:val="24"/>
          <w:szCs w:val="24"/>
        </w:rPr>
      </w:pPr>
    </w:p>
    <w:p w14:paraId="02F077FE" w14:textId="5E38063E" w:rsidR="0007657F" w:rsidRDefault="0007657F" w:rsidP="0007657F">
      <w:pPr>
        <w:rPr>
          <w:rFonts w:ascii="Times New Roman" w:hAnsi="Times New Roman" w:cs="Times New Roman"/>
          <w:sz w:val="24"/>
          <w:szCs w:val="24"/>
        </w:rPr>
      </w:pPr>
    </w:p>
    <w:p w14:paraId="2654507E" w14:textId="0BA0C5B2" w:rsidR="0007657F" w:rsidRDefault="0007657F" w:rsidP="0007657F">
      <w:pPr>
        <w:rPr>
          <w:rFonts w:ascii="Times New Roman" w:hAnsi="Times New Roman" w:cs="Times New Roman"/>
          <w:sz w:val="24"/>
          <w:szCs w:val="24"/>
        </w:rPr>
      </w:pPr>
    </w:p>
    <w:p w14:paraId="31CD01ED" w14:textId="20CFA6C8" w:rsidR="0007657F" w:rsidRDefault="0007657F" w:rsidP="0007657F">
      <w:pPr>
        <w:rPr>
          <w:rFonts w:ascii="Times New Roman" w:hAnsi="Times New Roman" w:cs="Times New Roman"/>
          <w:sz w:val="24"/>
          <w:szCs w:val="24"/>
        </w:rPr>
      </w:pPr>
    </w:p>
    <w:p w14:paraId="593E1DA6" w14:textId="3F043EB9" w:rsidR="0007657F" w:rsidRDefault="0007657F" w:rsidP="0007657F">
      <w:pPr>
        <w:rPr>
          <w:rFonts w:ascii="Times New Roman" w:hAnsi="Times New Roman" w:cs="Times New Roman"/>
          <w:sz w:val="24"/>
          <w:szCs w:val="24"/>
        </w:rPr>
      </w:pPr>
    </w:p>
    <w:p w14:paraId="369FF75C" w14:textId="31E16023" w:rsidR="0007657F" w:rsidRDefault="0007657F" w:rsidP="0007657F">
      <w:pPr>
        <w:rPr>
          <w:rFonts w:ascii="Times New Roman" w:hAnsi="Times New Roman" w:cs="Times New Roman"/>
          <w:sz w:val="24"/>
          <w:szCs w:val="24"/>
        </w:rPr>
      </w:pPr>
    </w:p>
    <w:p w14:paraId="5A2F1E3E" w14:textId="77777777" w:rsidR="0007657F" w:rsidRPr="0007657F" w:rsidRDefault="0007657F" w:rsidP="0007657F">
      <w:pPr>
        <w:spacing w:line="240" w:lineRule="auto"/>
        <w:rPr>
          <w:rFonts w:ascii="Times New Roman" w:hAnsi="Times New Roman" w:cs="Times New Roman"/>
        </w:rPr>
      </w:pPr>
      <w:r w:rsidRPr="0007657F">
        <w:rPr>
          <w:rFonts w:ascii="Times New Roman" w:hAnsi="Times New Roman" w:cs="Times New Roman"/>
        </w:rPr>
        <w:lastRenderedPageBreak/>
        <w:t>EVALUATING USAGE OF CALCITONIN, ZOLEDRONIC ACID, AND DENOSUMAB FOR ACUTE MANAGEMENT OF HYPERCALCEMIA</w:t>
      </w:r>
    </w:p>
    <w:p w14:paraId="5CA80D22" w14:textId="77777777" w:rsidR="0007657F" w:rsidRPr="0007657F" w:rsidRDefault="0007657F" w:rsidP="0007657F">
      <w:pPr>
        <w:spacing w:line="240" w:lineRule="auto"/>
        <w:rPr>
          <w:rFonts w:ascii="Times New Roman" w:hAnsi="Times New Roman" w:cs="Times New Roman"/>
          <w:u w:val="single"/>
        </w:rPr>
      </w:pPr>
      <w:r w:rsidRPr="0007657F">
        <w:rPr>
          <w:rFonts w:ascii="Times New Roman" w:hAnsi="Times New Roman" w:cs="Times New Roman"/>
          <w:u w:val="single"/>
        </w:rPr>
        <w:t>Brittingham A</w:t>
      </w:r>
      <w:r w:rsidRPr="0007657F">
        <w:rPr>
          <w:rFonts w:ascii="Times New Roman" w:hAnsi="Times New Roman" w:cs="Times New Roman"/>
        </w:rPr>
        <w:t xml:space="preserve">*, </w:t>
      </w:r>
      <w:r w:rsidRPr="0007657F">
        <w:rPr>
          <w:rFonts w:ascii="Times New Roman" w:hAnsi="Times New Roman" w:cs="Times New Roman"/>
          <w:u w:val="single"/>
        </w:rPr>
        <w:t>Maceira E</w:t>
      </w:r>
    </w:p>
    <w:p w14:paraId="360CBEAC" w14:textId="77777777" w:rsidR="0007657F" w:rsidRPr="0007657F" w:rsidRDefault="0007657F" w:rsidP="0007657F">
      <w:pPr>
        <w:spacing w:line="240" w:lineRule="auto"/>
        <w:rPr>
          <w:rFonts w:ascii="Times New Roman" w:hAnsi="Times New Roman" w:cs="Times New Roman"/>
        </w:rPr>
      </w:pPr>
      <w:r w:rsidRPr="0007657F">
        <w:rPr>
          <w:rFonts w:ascii="Times New Roman" w:hAnsi="Times New Roman" w:cs="Times New Roman"/>
        </w:rPr>
        <w:t>Albany Medical Center, 43 New Scotland Ave, Albany, NY 12208</w:t>
      </w:r>
    </w:p>
    <w:p w14:paraId="21FBA6DA" w14:textId="77777777" w:rsidR="0007657F" w:rsidRPr="0007657F" w:rsidRDefault="0007657F" w:rsidP="0007657F">
      <w:pPr>
        <w:spacing w:line="240" w:lineRule="auto"/>
        <w:rPr>
          <w:rFonts w:ascii="Times New Roman" w:hAnsi="Times New Roman" w:cs="Times New Roman"/>
        </w:rPr>
      </w:pPr>
    </w:p>
    <w:p w14:paraId="4E3CAEEB" w14:textId="77777777" w:rsidR="0007657F" w:rsidRPr="0007657F" w:rsidRDefault="0007657F" w:rsidP="0007657F">
      <w:pPr>
        <w:spacing w:line="240" w:lineRule="auto"/>
        <w:rPr>
          <w:rFonts w:ascii="Times New Roman" w:hAnsi="Times New Roman" w:cs="Times New Roman"/>
        </w:rPr>
      </w:pPr>
      <w:r w:rsidRPr="0007657F">
        <w:rPr>
          <w:rFonts w:ascii="Times New Roman" w:hAnsi="Times New Roman" w:cs="Times New Roman"/>
          <w:b/>
        </w:rPr>
        <w:t xml:space="preserve">Background: </w:t>
      </w:r>
      <w:r w:rsidRPr="0007657F">
        <w:rPr>
          <w:rFonts w:ascii="Times New Roman" w:hAnsi="Times New Roman" w:cs="Times New Roman"/>
          <w:color w:val="000000"/>
        </w:rPr>
        <w:t xml:space="preserve">Hypercalcemia is a relatively rare occurrence in adults. Our </w:t>
      </w:r>
      <w:r w:rsidRPr="0007657F">
        <w:rPr>
          <w:rFonts w:ascii="Times New Roman" w:hAnsi="Times New Roman" w:cs="Times New Roman"/>
        </w:rPr>
        <w:t xml:space="preserve">formulary guidelines suggest intravenous fluids first, zoledronic acid, and then calcitonin for the treatment of hypercalcemia with weight-based fixed dosing recommendations. Denosumab is not addressed in the formulary guidelines but has been used in this setting. </w:t>
      </w:r>
      <w:r w:rsidRPr="0007657F">
        <w:rPr>
          <w:rFonts w:ascii="Times New Roman" w:hAnsi="Times New Roman" w:cs="Times New Roman"/>
          <w:color w:val="000000"/>
        </w:rPr>
        <w:t>The purpose of this study was to determine the compliance with formulary guidelines, efficacy of the medications at lowering calcium levels, and assess the need for an institutional hypercalcemia management algorithm.</w:t>
      </w:r>
    </w:p>
    <w:p w14:paraId="090F5048" w14:textId="77777777" w:rsidR="0007657F" w:rsidRPr="0007657F" w:rsidRDefault="0007657F" w:rsidP="0007657F">
      <w:pPr>
        <w:spacing w:line="240" w:lineRule="auto"/>
        <w:rPr>
          <w:rFonts w:ascii="Times New Roman" w:hAnsi="Times New Roman" w:cs="Times New Roman"/>
          <w:color w:val="000000"/>
        </w:rPr>
      </w:pPr>
      <w:r w:rsidRPr="0007657F">
        <w:rPr>
          <w:rFonts w:ascii="Times New Roman" w:hAnsi="Times New Roman" w:cs="Times New Roman"/>
          <w:b/>
        </w:rPr>
        <w:t xml:space="preserve">Objective: </w:t>
      </w:r>
      <w:r w:rsidRPr="0007657F">
        <w:rPr>
          <w:rFonts w:ascii="Times New Roman" w:hAnsi="Times New Roman" w:cs="Times New Roman"/>
          <w:color w:val="000000"/>
        </w:rPr>
        <w:t>The primary efficacy outcome was to determine the percentage of time formulary guidelines were followed and assess the average decline of serum calcium after medication administration. The primary safety endpoint was determined by the presence of hypocalcemia.</w:t>
      </w:r>
    </w:p>
    <w:p w14:paraId="2B8784A4" w14:textId="77777777" w:rsidR="0007657F" w:rsidRPr="0007657F" w:rsidRDefault="0007657F" w:rsidP="0007657F">
      <w:pPr>
        <w:spacing w:line="240" w:lineRule="auto"/>
        <w:rPr>
          <w:rFonts w:ascii="Times New Roman" w:hAnsi="Times New Roman" w:cs="Times New Roman"/>
          <w:b/>
        </w:rPr>
      </w:pPr>
      <w:r w:rsidRPr="0007657F">
        <w:rPr>
          <w:rFonts w:ascii="Times New Roman" w:hAnsi="Times New Roman" w:cs="Times New Roman"/>
          <w:b/>
        </w:rPr>
        <w:t xml:space="preserve">Methods: </w:t>
      </w:r>
      <w:r w:rsidRPr="0007657F">
        <w:rPr>
          <w:rFonts w:ascii="Times New Roman" w:hAnsi="Times New Roman" w:cs="Times New Roman"/>
          <w:color w:val="000000"/>
        </w:rPr>
        <w:t xml:space="preserve">This was a retrospective chart review of all patients age 18 and over who received zoledronic acid, calcitonin, or denosumab for hypercalcemia during hospitalization from January 2016 to August 2020. Patients were excluded if they did not have at least one repeat calcium level within 24 hours following medication administration. Data collected included patient demographics, clinical and laboratory data. All calcium levels were assessed at prespecified time points. </w:t>
      </w:r>
      <w:r w:rsidRPr="0007657F">
        <w:rPr>
          <w:rFonts w:ascii="Times New Roman" w:hAnsi="Times New Roman" w:cs="Times New Roman"/>
        </w:rPr>
        <w:t xml:space="preserve">Results were analyzed utilizing appropriate descriptive statistics. </w:t>
      </w:r>
      <w:r w:rsidRPr="0007657F">
        <w:rPr>
          <w:rFonts w:ascii="Times New Roman" w:hAnsi="Times New Roman" w:cs="Times New Roman"/>
          <w:color w:val="000000"/>
        </w:rPr>
        <w:t>Institutional review board approval was obtained.</w:t>
      </w:r>
    </w:p>
    <w:p w14:paraId="08F8610C" w14:textId="77777777" w:rsidR="0007657F" w:rsidRPr="0007657F" w:rsidRDefault="0007657F" w:rsidP="0007657F">
      <w:pPr>
        <w:spacing w:line="240" w:lineRule="auto"/>
        <w:rPr>
          <w:rFonts w:ascii="Times New Roman" w:hAnsi="Times New Roman" w:cs="Times New Roman"/>
        </w:rPr>
      </w:pPr>
      <w:r w:rsidRPr="0007657F">
        <w:rPr>
          <w:rFonts w:ascii="Times New Roman" w:hAnsi="Times New Roman" w:cs="Times New Roman"/>
          <w:b/>
        </w:rPr>
        <w:t xml:space="preserve">Results: </w:t>
      </w:r>
      <w:r w:rsidRPr="0007657F">
        <w:rPr>
          <w:rFonts w:ascii="Times New Roman" w:hAnsi="Times New Roman" w:cs="Times New Roman"/>
        </w:rPr>
        <w:t xml:space="preserve">There were 26 patients reviewed in this study. Institutional guidelines were followed 15% of the time. Average decline of calcium during a patient’s treatment was 3.17 mg/dL (Range: -1.9 to 9.14). Hypocalcemia occurred in 13 patients. </w:t>
      </w:r>
    </w:p>
    <w:p w14:paraId="3BAFB831" w14:textId="77777777" w:rsidR="0007657F" w:rsidRPr="0007657F" w:rsidRDefault="0007657F" w:rsidP="0007657F">
      <w:pPr>
        <w:spacing w:line="240" w:lineRule="auto"/>
        <w:rPr>
          <w:rFonts w:ascii="Times New Roman" w:hAnsi="Times New Roman" w:cs="Times New Roman"/>
        </w:rPr>
      </w:pPr>
      <w:r w:rsidRPr="0007657F">
        <w:rPr>
          <w:rFonts w:ascii="Times New Roman" w:hAnsi="Times New Roman" w:cs="Times New Roman"/>
          <w:b/>
        </w:rPr>
        <w:t xml:space="preserve">Conclusion: </w:t>
      </w:r>
      <w:r w:rsidRPr="0007657F">
        <w:rPr>
          <w:rFonts w:ascii="Times New Roman" w:hAnsi="Times New Roman" w:cs="Times New Roman"/>
        </w:rPr>
        <w:t>The results will be used to create an institutional hypercalcemia management algorithm.</w:t>
      </w:r>
    </w:p>
    <w:p w14:paraId="2E31DEC8" w14:textId="5F39F76E" w:rsidR="0007657F" w:rsidRDefault="0007657F" w:rsidP="0007657F"/>
    <w:p w14:paraId="4DD629AD" w14:textId="2C09AF36" w:rsidR="0007657F" w:rsidRDefault="0007657F" w:rsidP="0007657F"/>
    <w:p w14:paraId="0A936A89" w14:textId="546ABAEC" w:rsidR="0007657F" w:rsidRDefault="0007657F" w:rsidP="0007657F"/>
    <w:p w14:paraId="1D91CF92" w14:textId="7DD4D3BA" w:rsidR="0007657F" w:rsidRDefault="0007657F" w:rsidP="0007657F"/>
    <w:p w14:paraId="68CB6F8B" w14:textId="5F8313C4" w:rsidR="0007657F" w:rsidRDefault="0007657F" w:rsidP="0007657F"/>
    <w:p w14:paraId="429A321A" w14:textId="3080D880" w:rsidR="0007657F" w:rsidRDefault="0007657F" w:rsidP="0007657F"/>
    <w:p w14:paraId="59FE8429" w14:textId="1420F4AF" w:rsidR="0007657F" w:rsidRDefault="0007657F" w:rsidP="0007657F"/>
    <w:p w14:paraId="4F57A49B" w14:textId="7052AFA3" w:rsidR="0007657F" w:rsidRDefault="0007657F" w:rsidP="0007657F"/>
    <w:p w14:paraId="2F28FE8C" w14:textId="52B9FDED" w:rsidR="0007657F" w:rsidRDefault="0007657F" w:rsidP="0007657F"/>
    <w:p w14:paraId="444F485C" w14:textId="3097D467" w:rsidR="0007657F" w:rsidRDefault="0007657F" w:rsidP="0007657F"/>
    <w:p w14:paraId="4BBC4B3C" w14:textId="119F1225" w:rsidR="0007657F" w:rsidRDefault="0007657F" w:rsidP="0007657F"/>
    <w:p w14:paraId="27133849" w14:textId="2762FD59" w:rsidR="0007657F" w:rsidRDefault="0007657F" w:rsidP="0007657F"/>
    <w:p w14:paraId="5A92213D" w14:textId="77777777" w:rsidR="0007657F" w:rsidRDefault="0007657F" w:rsidP="0007657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POTENTIAL IMPACT OF GENE THERAPY IN HEMOPHILIA A</w:t>
      </w:r>
    </w:p>
    <w:p w14:paraId="33120830" w14:textId="77777777" w:rsidR="0007657F" w:rsidRDefault="0007657F" w:rsidP="0007657F">
      <w:pPr>
        <w:spacing w:after="0" w:line="240" w:lineRule="auto"/>
        <w:rPr>
          <w:rFonts w:ascii="Times New Roman" w:hAnsi="Times New Roman" w:cs="Times New Roman"/>
          <w:sz w:val="24"/>
          <w:szCs w:val="24"/>
        </w:rPr>
      </w:pPr>
    </w:p>
    <w:p w14:paraId="55D0E9E9" w14:textId="77777777" w:rsidR="0007657F" w:rsidRDefault="0007657F" w:rsidP="0007657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Button H*, Nobles T, Thomas T</w:t>
      </w:r>
    </w:p>
    <w:p w14:paraId="4AAA6CA1" w14:textId="77777777" w:rsidR="0007657F" w:rsidRDefault="0007657F" w:rsidP="0007657F">
      <w:pPr>
        <w:spacing w:after="0" w:line="240" w:lineRule="auto"/>
        <w:rPr>
          <w:rFonts w:ascii="Times New Roman" w:hAnsi="Times New Roman" w:cs="Times New Roman"/>
          <w:sz w:val="24"/>
          <w:szCs w:val="24"/>
        </w:rPr>
      </w:pPr>
    </w:p>
    <w:p w14:paraId="0716464A" w14:textId="77777777" w:rsidR="0007657F" w:rsidRDefault="0007657F" w:rsidP="0007657F">
      <w:pPr>
        <w:spacing w:after="0" w:line="240" w:lineRule="auto"/>
        <w:rPr>
          <w:rFonts w:ascii="Times New Roman" w:hAnsi="Times New Roman" w:cs="Times New Roman"/>
          <w:sz w:val="24"/>
          <w:szCs w:val="24"/>
        </w:rPr>
      </w:pPr>
      <w:r>
        <w:rPr>
          <w:rFonts w:ascii="Times New Roman" w:hAnsi="Times New Roman" w:cs="Times New Roman"/>
          <w:sz w:val="24"/>
          <w:szCs w:val="24"/>
        </w:rPr>
        <w:t>Capital District Physicians’ Health Plan, 500 Patroon Creek Blvd, Albany, NY 12206</w:t>
      </w:r>
    </w:p>
    <w:p w14:paraId="7C934AA3" w14:textId="77777777" w:rsidR="0007657F" w:rsidRDefault="0007657F" w:rsidP="0007657F">
      <w:pPr>
        <w:spacing w:after="0" w:line="240" w:lineRule="auto"/>
        <w:rPr>
          <w:rFonts w:ascii="Times New Roman" w:hAnsi="Times New Roman" w:cs="Times New Roman"/>
          <w:b/>
          <w:sz w:val="24"/>
          <w:szCs w:val="24"/>
        </w:rPr>
      </w:pPr>
    </w:p>
    <w:p w14:paraId="39A3538A" w14:textId="77777777" w:rsidR="0007657F" w:rsidRDefault="0007657F" w:rsidP="000765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Background: </w:t>
      </w:r>
      <w:r>
        <w:rPr>
          <w:rFonts w:ascii="Times New Roman" w:hAnsi="Times New Roman" w:cs="Times New Roman"/>
          <w:sz w:val="24"/>
          <w:szCs w:val="24"/>
        </w:rPr>
        <w:t>Hemophilia is a congenital bleeding disorder that is characterized by spontaneous bleeding episodes that can be life threatening.  Roctavian (valoctocogene roxaparvovec), formally referred to as Valrox, is a gene therapy for hemophilia A that is in final stages of FDA review.</w:t>
      </w:r>
      <w:r>
        <w:rPr>
          <w:rFonts w:ascii="Times New Roman" w:hAnsi="Times New Roman" w:cs="Times New Roman"/>
          <w:b/>
          <w:sz w:val="24"/>
          <w:szCs w:val="24"/>
        </w:rPr>
        <w:t xml:space="preserve">  </w:t>
      </w:r>
    </w:p>
    <w:p w14:paraId="49C8A694" w14:textId="77777777" w:rsidR="0007657F" w:rsidRDefault="0007657F" w:rsidP="0007657F">
      <w:pPr>
        <w:spacing w:after="0" w:line="240" w:lineRule="auto"/>
        <w:rPr>
          <w:rFonts w:ascii="Times New Roman" w:hAnsi="Times New Roman" w:cs="Times New Roman"/>
          <w:b/>
          <w:sz w:val="24"/>
          <w:szCs w:val="24"/>
        </w:rPr>
      </w:pPr>
    </w:p>
    <w:p w14:paraId="31AB669D" w14:textId="77777777" w:rsidR="0007657F" w:rsidRDefault="0007657F" w:rsidP="0007657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Objective: </w:t>
      </w:r>
      <w:r>
        <w:rPr>
          <w:rFonts w:ascii="Times New Roman" w:hAnsi="Times New Roman" w:cs="Times New Roman"/>
          <w:sz w:val="24"/>
          <w:szCs w:val="24"/>
        </w:rPr>
        <w:t>This study estimated the potential financial impact of gene therapy for hemophilia A to a not-for-profit health plan</w:t>
      </w:r>
    </w:p>
    <w:p w14:paraId="178C6FA0" w14:textId="77777777" w:rsidR="0007657F" w:rsidRDefault="0007657F" w:rsidP="0007657F">
      <w:pPr>
        <w:spacing w:after="0" w:line="240" w:lineRule="auto"/>
        <w:rPr>
          <w:rFonts w:ascii="Times New Roman" w:hAnsi="Times New Roman" w:cs="Times New Roman"/>
          <w:b/>
          <w:sz w:val="24"/>
          <w:szCs w:val="24"/>
        </w:rPr>
      </w:pPr>
    </w:p>
    <w:p w14:paraId="01A317C2" w14:textId="77777777" w:rsidR="0007657F" w:rsidRDefault="0007657F" w:rsidP="0007657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Methods: </w:t>
      </w:r>
      <w:r>
        <w:rPr>
          <w:rFonts w:ascii="Times New Roman" w:hAnsi="Times New Roman" w:cs="Times New Roman"/>
          <w:sz w:val="24"/>
          <w:szCs w:val="24"/>
        </w:rPr>
        <w:t>A retrospective review of pharmacy and medical claims from July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2018-June 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2020 was preformed to establish a total cost of care for an identified cohort of patients with hemophilia A.  Available clinical information for each member of the cohort was reviewed to determine potential eligibility for gene therapy.  Cost savings were calculated under the assumptions currently presented for Roctavian of a 3 year efficacy with a 96% reduction in bleeding events and factor utilization. </w:t>
      </w:r>
    </w:p>
    <w:p w14:paraId="68D31DA7" w14:textId="77777777" w:rsidR="0007657F" w:rsidRDefault="0007657F" w:rsidP="0007657F">
      <w:pPr>
        <w:spacing w:after="0" w:line="240" w:lineRule="auto"/>
        <w:rPr>
          <w:rFonts w:ascii="Times New Roman" w:hAnsi="Times New Roman" w:cs="Times New Roman"/>
          <w:b/>
          <w:sz w:val="24"/>
          <w:szCs w:val="24"/>
        </w:rPr>
      </w:pPr>
    </w:p>
    <w:p w14:paraId="06258802" w14:textId="77777777" w:rsidR="0007657F" w:rsidRDefault="0007657F" w:rsidP="0007657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Results: </w:t>
      </w:r>
      <w:r>
        <w:rPr>
          <w:rFonts w:ascii="Times New Roman" w:hAnsi="Times New Roman" w:cs="Times New Roman"/>
          <w:sz w:val="24"/>
          <w:szCs w:val="24"/>
        </w:rPr>
        <w:t xml:space="preserve">Six of the twenty-nine patients identified as having hemophilia A were determined to be potential candidates for gene therapy.  The six patients had a combined total cost of care related to hemophilia A of $4,471,065 per year.  If these 6 patients were administered Roctavian, with a predicted efficacy leading to a 96% reduction in factor use and bleeds, we could estimate a decrease in cost of factors and related medical services by $2,146,111 over 3 years.  </w:t>
      </w:r>
    </w:p>
    <w:p w14:paraId="68DF68BA" w14:textId="77777777" w:rsidR="0007657F" w:rsidRDefault="0007657F" w:rsidP="0007657F">
      <w:pPr>
        <w:spacing w:after="0" w:line="240" w:lineRule="auto"/>
        <w:rPr>
          <w:rFonts w:ascii="Times New Roman" w:hAnsi="Times New Roman" w:cs="Times New Roman"/>
          <w:b/>
          <w:sz w:val="24"/>
          <w:szCs w:val="24"/>
        </w:rPr>
      </w:pPr>
    </w:p>
    <w:p w14:paraId="5DC183A8" w14:textId="77777777" w:rsidR="0007657F" w:rsidRDefault="0007657F" w:rsidP="0007657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Conclusions: </w:t>
      </w:r>
      <w:r>
        <w:rPr>
          <w:rFonts w:ascii="Times New Roman" w:hAnsi="Times New Roman" w:cs="Times New Roman"/>
          <w:sz w:val="24"/>
          <w:szCs w:val="24"/>
        </w:rPr>
        <w:t xml:space="preserve">To be cost-effective in the identified cohort of six individuals with severe and symptomatic disease, Roctavian would need to be priced under $2,146,111.  </w:t>
      </w:r>
    </w:p>
    <w:p w14:paraId="1B9DF4FC" w14:textId="63E4A6EF" w:rsidR="0007657F" w:rsidRDefault="0007657F" w:rsidP="0007657F"/>
    <w:p w14:paraId="55E51609" w14:textId="508B30BC" w:rsidR="0007657F" w:rsidRDefault="0007657F" w:rsidP="0007657F"/>
    <w:p w14:paraId="06D9717F" w14:textId="5EE3B667" w:rsidR="0007657F" w:rsidRDefault="0007657F" w:rsidP="0007657F"/>
    <w:p w14:paraId="60D98022" w14:textId="131575B7" w:rsidR="0007657F" w:rsidRDefault="0007657F" w:rsidP="0007657F"/>
    <w:p w14:paraId="3951AD65" w14:textId="0D75D336" w:rsidR="0007657F" w:rsidRDefault="0007657F" w:rsidP="0007657F"/>
    <w:p w14:paraId="7C347815" w14:textId="03EFCA0C" w:rsidR="0007657F" w:rsidRDefault="0007657F" w:rsidP="0007657F"/>
    <w:p w14:paraId="2126F11F" w14:textId="6DFD0607" w:rsidR="0007657F" w:rsidRDefault="0007657F" w:rsidP="0007657F"/>
    <w:p w14:paraId="1EDD3D98" w14:textId="2890BE39" w:rsidR="0007657F" w:rsidRDefault="0007657F" w:rsidP="0007657F"/>
    <w:p w14:paraId="53DE478E" w14:textId="116BEAEE" w:rsidR="0007657F" w:rsidRDefault="0007657F" w:rsidP="0007657F"/>
    <w:p w14:paraId="742065DA" w14:textId="19F061A5" w:rsidR="0007657F" w:rsidRDefault="0007657F" w:rsidP="0007657F"/>
    <w:p w14:paraId="35DEBDC0" w14:textId="3D223B2D" w:rsidR="0007657F" w:rsidRDefault="0007657F" w:rsidP="0007657F"/>
    <w:p w14:paraId="6978F3AD" w14:textId="77777777" w:rsidR="0007657F" w:rsidRDefault="0007657F" w:rsidP="0007657F">
      <w:pPr>
        <w:rPr>
          <w:rFonts w:ascii="Times New Roman" w:hAnsi="Times New Roman" w:cs="Times New Roman"/>
          <w:b/>
        </w:rPr>
      </w:pPr>
      <w:r>
        <w:rPr>
          <w:rFonts w:ascii="Times New Roman" w:hAnsi="Times New Roman" w:cs="Times New Roman"/>
          <w:b/>
        </w:rPr>
        <w:lastRenderedPageBreak/>
        <w:t>IMPACT OF PHARMACIST INVOLVEMENT DURING THE DISCHARGE MEDICATION PROCESS AT AN ACADEMIC MEDICAL CENTER</w:t>
      </w:r>
    </w:p>
    <w:p w14:paraId="602925A9" w14:textId="77777777" w:rsidR="0007657F" w:rsidRDefault="0007657F" w:rsidP="0007657F">
      <w:pPr>
        <w:rPr>
          <w:rFonts w:ascii="Times New Roman" w:hAnsi="Times New Roman" w:cs="Times New Roman"/>
        </w:rPr>
      </w:pPr>
      <w:r>
        <w:rPr>
          <w:rFonts w:ascii="Times New Roman" w:hAnsi="Times New Roman" w:cs="Times New Roman"/>
          <w:u w:val="single"/>
        </w:rPr>
        <w:t>Carden D</w:t>
      </w:r>
      <w:r>
        <w:rPr>
          <w:rFonts w:ascii="Times New Roman" w:hAnsi="Times New Roman" w:cs="Times New Roman"/>
        </w:rPr>
        <w:t xml:space="preserve">*, </w:t>
      </w:r>
      <w:r>
        <w:rPr>
          <w:rFonts w:ascii="Times New Roman" w:hAnsi="Times New Roman" w:cs="Times New Roman"/>
          <w:u w:val="single"/>
        </w:rPr>
        <w:t>Clark C</w:t>
      </w:r>
      <w:r>
        <w:rPr>
          <w:rFonts w:ascii="Times New Roman" w:hAnsi="Times New Roman" w:cs="Times New Roman"/>
        </w:rPr>
        <w:t xml:space="preserve">, </w:t>
      </w:r>
      <w:r>
        <w:rPr>
          <w:rFonts w:ascii="Times New Roman" w:hAnsi="Times New Roman" w:cs="Times New Roman"/>
          <w:u w:val="single"/>
        </w:rPr>
        <w:t>Seyse S</w:t>
      </w:r>
      <w:r>
        <w:rPr>
          <w:rFonts w:ascii="Times New Roman" w:hAnsi="Times New Roman" w:cs="Times New Roman"/>
        </w:rPr>
        <w:t xml:space="preserve">, </w:t>
      </w:r>
      <w:r>
        <w:rPr>
          <w:rFonts w:ascii="Times New Roman" w:hAnsi="Times New Roman" w:cs="Times New Roman"/>
          <w:u w:val="single"/>
        </w:rPr>
        <w:t>Woodruff A</w:t>
      </w:r>
    </w:p>
    <w:p w14:paraId="2596C13A" w14:textId="77777777" w:rsidR="0007657F" w:rsidRDefault="0007657F" w:rsidP="0007657F">
      <w:pPr>
        <w:rPr>
          <w:rFonts w:ascii="Times New Roman" w:hAnsi="Times New Roman" w:cs="Times New Roman"/>
        </w:rPr>
      </w:pPr>
      <w:r>
        <w:rPr>
          <w:rFonts w:ascii="Times New Roman" w:hAnsi="Times New Roman" w:cs="Times New Roman"/>
        </w:rPr>
        <w:t>Buffalo General Medical Center, 100 High Street, Buffalo, NY 14203</w:t>
      </w:r>
    </w:p>
    <w:p w14:paraId="237F9913" w14:textId="77777777" w:rsidR="0007657F" w:rsidRDefault="0007657F" w:rsidP="0007657F">
      <w:pPr>
        <w:rPr>
          <w:rFonts w:ascii="Times New Roman" w:hAnsi="Times New Roman" w:cs="Times New Roman"/>
          <w:b/>
        </w:rPr>
      </w:pPr>
      <w:r>
        <w:rPr>
          <w:rFonts w:ascii="Times New Roman" w:hAnsi="Times New Roman" w:cs="Times New Roman"/>
          <w:b/>
        </w:rPr>
        <w:t>Background</w:t>
      </w:r>
      <w:r>
        <w:rPr>
          <w:rFonts w:ascii="Times New Roman" w:hAnsi="Times New Roman" w:cs="Times New Roman"/>
        </w:rPr>
        <w:t>: Potentially avoidable medication errors are common during hospital discharge, with adverse drug effects (ADEs) occurring in 11-17% of patients during the first few weeks of hospital discharge. Uncoordinated hospital transitions have been attributed to 20-30% of hospital readmissions, with medication therapy management during transitions of care becoming increasingly recognized as affecting clinical outcomes, including the risk for readmission.</w:t>
      </w:r>
    </w:p>
    <w:p w14:paraId="712040EC" w14:textId="77777777" w:rsidR="0007657F" w:rsidRDefault="0007657F" w:rsidP="0007657F">
      <w:pPr>
        <w:rPr>
          <w:rFonts w:ascii="Times New Roman" w:hAnsi="Times New Roman" w:cs="Times New Roman"/>
        </w:rPr>
      </w:pPr>
      <w:r>
        <w:rPr>
          <w:rFonts w:ascii="Times New Roman" w:hAnsi="Times New Roman" w:cs="Times New Roman"/>
          <w:b/>
        </w:rPr>
        <w:t>Objective</w:t>
      </w:r>
      <w:r>
        <w:rPr>
          <w:rFonts w:ascii="Times New Roman" w:hAnsi="Times New Roman" w:cs="Times New Roman"/>
        </w:rPr>
        <w:t>: The objective of this study is to evaluate the clinical and financial impact of pharmacist intervention on identifying and correcting medication errors during the discharge medication reconciliation process as part of a new pharmacy-driven initiative. The primary endpoint is number and severity of errors identified during the discharge medication reconciliation. Secondary endpoints include 7-day and 30-day readmission rates, and cost avoidance.</w:t>
      </w:r>
    </w:p>
    <w:p w14:paraId="7D678176" w14:textId="77777777" w:rsidR="0007657F" w:rsidRDefault="0007657F" w:rsidP="0007657F">
      <w:pPr>
        <w:rPr>
          <w:rFonts w:ascii="Times New Roman" w:hAnsi="Times New Roman" w:cs="Times New Roman"/>
        </w:rPr>
      </w:pPr>
      <w:r>
        <w:rPr>
          <w:rFonts w:ascii="Times New Roman" w:hAnsi="Times New Roman" w:cs="Times New Roman"/>
          <w:b/>
        </w:rPr>
        <w:t>Methods</w:t>
      </w:r>
      <w:r>
        <w:rPr>
          <w:rFonts w:ascii="Times New Roman" w:hAnsi="Times New Roman" w:cs="Times New Roman"/>
        </w:rPr>
        <w:t>: This is a retrospective, single-center, pre-post observational-cohort-study that will assess the impact of this new pharmacy-driven initiative. Patients 18 years of age or older discharged from medicine teaching services between October 2020 and December 2020 will be included. Patients will have an admission medication history and reconciliation performed by the pharmacy department. A discharge medication reconciliation will then be performed by a pharmacist. Interventions pertaining to medication discrepancies and needed clarifications will be made prior to discharge. Interventions will be categorized and economic impact will be evaluated by further categorizing based on severity and likelihood of an ADE in the absence of intervention. Patients will be compared to a historical cohort who did not receive a pharmacist discharge medication reconciliation.</w:t>
      </w:r>
    </w:p>
    <w:p w14:paraId="06DE8315" w14:textId="77777777" w:rsidR="0007657F" w:rsidRDefault="0007657F" w:rsidP="0007657F">
      <w:pPr>
        <w:rPr>
          <w:rFonts w:ascii="Times New Roman" w:hAnsi="Times New Roman" w:cs="Times New Roman"/>
        </w:rPr>
      </w:pPr>
      <w:r>
        <w:rPr>
          <w:rFonts w:ascii="Times New Roman" w:hAnsi="Times New Roman" w:cs="Times New Roman"/>
          <w:b/>
        </w:rPr>
        <w:t xml:space="preserve">Results: </w:t>
      </w:r>
      <w:r>
        <w:rPr>
          <w:rFonts w:ascii="Times New Roman" w:hAnsi="Times New Roman" w:cs="Times New Roman"/>
        </w:rPr>
        <w:t>To be determined</w:t>
      </w:r>
    </w:p>
    <w:p w14:paraId="21576FCF" w14:textId="32690E00" w:rsidR="0007657F" w:rsidRDefault="0007657F" w:rsidP="0007657F">
      <w:pPr>
        <w:rPr>
          <w:rFonts w:ascii="Times New Roman" w:hAnsi="Times New Roman" w:cs="Times New Roman"/>
        </w:rPr>
      </w:pPr>
      <w:r>
        <w:rPr>
          <w:rFonts w:ascii="Times New Roman" w:hAnsi="Times New Roman" w:cs="Times New Roman"/>
          <w:b/>
        </w:rPr>
        <w:t>Conclusions:</w:t>
      </w:r>
      <w:r>
        <w:rPr>
          <w:rFonts w:ascii="Times New Roman" w:hAnsi="Times New Roman" w:cs="Times New Roman"/>
        </w:rPr>
        <w:t xml:space="preserve"> To be determined</w:t>
      </w:r>
    </w:p>
    <w:p w14:paraId="034AD984" w14:textId="69874350" w:rsidR="0007657F" w:rsidRDefault="0007657F" w:rsidP="0007657F">
      <w:pPr>
        <w:rPr>
          <w:rFonts w:ascii="Times New Roman" w:hAnsi="Times New Roman" w:cs="Times New Roman"/>
        </w:rPr>
      </w:pPr>
    </w:p>
    <w:p w14:paraId="052E5445" w14:textId="5D639D60" w:rsidR="0007657F" w:rsidRDefault="0007657F" w:rsidP="0007657F">
      <w:pPr>
        <w:rPr>
          <w:rFonts w:ascii="Times New Roman" w:hAnsi="Times New Roman" w:cs="Times New Roman"/>
        </w:rPr>
      </w:pPr>
    </w:p>
    <w:p w14:paraId="51996290" w14:textId="0466FD5E" w:rsidR="0007657F" w:rsidRDefault="0007657F" w:rsidP="0007657F">
      <w:pPr>
        <w:rPr>
          <w:rFonts w:ascii="Times New Roman" w:hAnsi="Times New Roman" w:cs="Times New Roman"/>
        </w:rPr>
      </w:pPr>
    </w:p>
    <w:p w14:paraId="7E12A476" w14:textId="2C3C2E3E" w:rsidR="0007657F" w:rsidRDefault="0007657F" w:rsidP="0007657F">
      <w:pPr>
        <w:rPr>
          <w:rFonts w:ascii="Times New Roman" w:hAnsi="Times New Roman" w:cs="Times New Roman"/>
        </w:rPr>
      </w:pPr>
    </w:p>
    <w:p w14:paraId="1BC6BF3E" w14:textId="32A36246" w:rsidR="0007657F" w:rsidRDefault="0007657F" w:rsidP="0007657F">
      <w:pPr>
        <w:rPr>
          <w:rFonts w:ascii="Times New Roman" w:hAnsi="Times New Roman" w:cs="Times New Roman"/>
        </w:rPr>
      </w:pPr>
    </w:p>
    <w:p w14:paraId="40FDEC79" w14:textId="6865BE03" w:rsidR="0007657F" w:rsidRDefault="0007657F" w:rsidP="0007657F">
      <w:pPr>
        <w:rPr>
          <w:rFonts w:ascii="Times New Roman" w:hAnsi="Times New Roman" w:cs="Times New Roman"/>
        </w:rPr>
      </w:pPr>
    </w:p>
    <w:p w14:paraId="2237740D" w14:textId="446BCCF9" w:rsidR="0007657F" w:rsidRDefault="0007657F" w:rsidP="0007657F">
      <w:pPr>
        <w:rPr>
          <w:rFonts w:ascii="Times New Roman" w:hAnsi="Times New Roman" w:cs="Times New Roman"/>
        </w:rPr>
      </w:pPr>
    </w:p>
    <w:p w14:paraId="76A33369" w14:textId="6DF843DE" w:rsidR="0007657F" w:rsidRDefault="0007657F" w:rsidP="0007657F">
      <w:pPr>
        <w:rPr>
          <w:rFonts w:ascii="Times New Roman" w:hAnsi="Times New Roman" w:cs="Times New Roman"/>
        </w:rPr>
      </w:pPr>
    </w:p>
    <w:p w14:paraId="68509E3F" w14:textId="77D3C7CD" w:rsidR="0007657F" w:rsidRDefault="0007657F" w:rsidP="0007657F">
      <w:pPr>
        <w:rPr>
          <w:rFonts w:ascii="Times New Roman" w:hAnsi="Times New Roman" w:cs="Times New Roman"/>
        </w:rPr>
      </w:pPr>
    </w:p>
    <w:p w14:paraId="12A4F96A" w14:textId="5E010763" w:rsidR="0007657F" w:rsidRDefault="0007657F" w:rsidP="0007657F">
      <w:pPr>
        <w:rPr>
          <w:rFonts w:ascii="Times New Roman" w:hAnsi="Times New Roman" w:cs="Times New Roman"/>
        </w:rPr>
      </w:pPr>
    </w:p>
    <w:p w14:paraId="68853D6D" w14:textId="5A925DFB" w:rsidR="0007657F" w:rsidRDefault="0007657F" w:rsidP="0007657F">
      <w:pPr>
        <w:rPr>
          <w:rFonts w:ascii="Times New Roman" w:hAnsi="Times New Roman" w:cs="Times New Roman"/>
        </w:rPr>
      </w:pPr>
    </w:p>
    <w:p w14:paraId="75504E67" w14:textId="77777777" w:rsidR="0007657F" w:rsidRPr="0007657F" w:rsidRDefault="0007657F" w:rsidP="0007657F">
      <w:pPr>
        <w:rPr>
          <w:rFonts w:ascii="Times New Roman" w:hAnsi="Times New Roman" w:cs="Times New Roman"/>
        </w:rPr>
      </w:pPr>
      <w:r w:rsidRPr="0007657F">
        <w:rPr>
          <w:rFonts w:ascii="Times New Roman" w:hAnsi="Times New Roman" w:cs="Times New Roman"/>
        </w:rPr>
        <w:lastRenderedPageBreak/>
        <w:t xml:space="preserve">EVALUATION OF A PHARMACIST-DRIVEN METHACILLIN-RESISTANT </w:t>
      </w:r>
      <w:r w:rsidRPr="0007657F">
        <w:rPr>
          <w:rFonts w:ascii="Times New Roman" w:hAnsi="Times New Roman" w:cs="Times New Roman"/>
          <w:i/>
          <w:iCs/>
        </w:rPr>
        <w:t xml:space="preserve">STAPHYLOCOCCUS AUREUS </w:t>
      </w:r>
      <w:r w:rsidRPr="0007657F">
        <w:rPr>
          <w:rFonts w:ascii="Times New Roman" w:hAnsi="Times New Roman" w:cs="Times New Roman"/>
        </w:rPr>
        <w:t>(MRSA) POLYMERASE CHAIN REACTION (PCR) NASAL SWAB ORDERING PROTOCOL IN PATIENTS WITH SUSPECTED PNEUMONIA</w:t>
      </w:r>
    </w:p>
    <w:p w14:paraId="24DCC0D4" w14:textId="77777777" w:rsidR="0007657F" w:rsidRPr="0007657F" w:rsidRDefault="0007657F" w:rsidP="0007657F">
      <w:pPr>
        <w:rPr>
          <w:rFonts w:ascii="Times New Roman" w:hAnsi="Times New Roman" w:cs="Times New Roman"/>
          <w:i/>
          <w:iCs/>
        </w:rPr>
      </w:pPr>
      <w:r w:rsidRPr="0007657F">
        <w:rPr>
          <w:rFonts w:ascii="Times New Roman" w:hAnsi="Times New Roman" w:cs="Times New Roman"/>
          <w:i/>
          <w:iCs/>
        </w:rPr>
        <w:t xml:space="preserve"> </w:t>
      </w:r>
    </w:p>
    <w:p w14:paraId="43DE3EC9" w14:textId="77777777" w:rsidR="0007657F" w:rsidRPr="0007657F" w:rsidRDefault="0007657F" w:rsidP="0007657F">
      <w:pPr>
        <w:rPr>
          <w:rFonts w:ascii="Times New Roman" w:hAnsi="Times New Roman" w:cs="Times New Roman"/>
          <w:u w:val="single"/>
        </w:rPr>
      </w:pPr>
      <w:r w:rsidRPr="0007657F">
        <w:rPr>
          <w:rFonts w:ascii="Times New Roman" w:hAnsi="Times New Roman" w:cs="Times New Roman"/>
          <w:u w:val="single"/>
        </w:rPr>
        <w:t>Chamberlin S</w:t>
      </w:r>
      <w:r w:rsidRPr="0007657F">
        <w:rPr>
          <w:rFonts w:ascii="Times New Roman" w:hAnsi="Times New Roman" w:cs="Times New Roman"/>
        </w:rPr>
        <w:t xml:space="preserve">*, </w:t>
      </w:r>
      <w:r w:rsidRPr="0007657F">
        <w:rPr>
          <w:rFonts w:ascii="Times New Roman" w:hAnsi="Times New Roman" w:cs="Times New Roman"/>
          <w:u w:val="single"/>
        </w:rPr>
        <w:t>Ferri D</w:t>
      </w:r>
      <w:r w:rsidRPr="0007657F">
        <w:rPr>
          <w:rFonts w:ascii="Times New Roman" w:hAnsi="Times New Roman" w:cs="Times New Roman"/>
        </w:rPr>
        <w:t xml:space="preserve">, </w:t>
      </w:r>
      <w:r w:rsidRPr="0007657F">
        <w:rPr>
          <w:rFonts w:ascii="Times New Roman" w:hAnsi="Times New Roman" w:cs="Times New Roman"/>
          <w:u w:val="single"/>
        </w:rPr>
        <w:t>Chin C</w:t>
      </w:r>
    </w:p>
    <w:p w14:paraId="401B8095" w14:textId="77777777" w:rsidR="0007657F" w:rsidRPr="0007657F" w:rsidRDefault="0007657F" w:rsidP="0007657F">
      <w:pPr>
        <w:rPr>
          <w:rFonts w:ascii="Times New Roman" w:hAnsi="Times New Roman" w:cs="Times New Roman"/>
        </w:rPr>
      </w:pPr>
    </w:p>
    <w:p w14:paraId="7A20AC9E" w14:textId="77777777" w:rsidR="0007657F" w:rsidRPr="0007657F" w:rsidRDefault="0007657F" w:rsidP="0007657F">
      <w:pPr>
        <w:rPr>
          <w:rFonts w:ascii="Times New Roman" w:hAnsi="Times New Roman" w:cs="Times New Roman"/>
        </w:rPr>
      </w:pPr>
      <w:r w:rsidRPr="0007657F">
        <w:rPr>
          <w:rFonts w:ascii="Times New Roman" w:hAnsi="Times New Roman" w:cs="Times New Roman"/>
        </w:rPr>
        <w:t>St. Peter’s Hospital, 315 S Manning Blvd, Albany, NY 12208</w:t>
      </w:r>
    </w:p>
    <w:p w14:paraId="528B1718" w14:textId="77777777" w:rsidR="0007657F" w:rsidRPr="0007657F" w:rsidRDefault="0007657F" w:rsidP="0007657F">
      <w:pPr>
        <w:rPr>
          <w:rFonts w:ascii="Times New Roman" w:hAnsi="Times New Roman" w:cs="Times New Roman"/>
        </w:rPr>
      </w:pPr>
    </w:p>
    <w:p w14:paraId="3D01CA90" w14:textId="77777777" w:rsidR="0007657F" w:rsidRPr="0007657F" w:rsidRDefault="0007657F" w:rsidP="0007657F">
      <w:pPr>
        <w:rPr>
          <w:rFonts w:ascii="Times New Roman" w:hAnsi="Times New Roman" w:cs="Times New Roman"/>
        </w:rPr>
      </w:pPr>
      <w:r w:rsidRPr="0007657F">
        <w:rPr>
          <w:rFonts w:ascii="Times New Roman" w:hAnsi="Times New Roman" w:cs="Times New Roman"/>
          <w:b/>
        </w:rPr>
        <w:t>Background</w:t>
      </w:r>
      <w:r w:rsidRPr="0007657F">
        <w:rPr>
          <w:rFonts w:ascii="Times New Roman" w:hAnsi="Times New Roman" w:cs="Times New Roman"/>
        </w:rPr>
        <w:t xml:space="preserve">: Empiric coverage for methicillin-resistant </w:t>
      </w:r>
      <w:r w:rsidRPr="0007657F">
        <w:rPr>
          <w:rFonts w:ascii="Times New Roman" w:hAnsi="Times New Roman" w:cs="Times New Roman"/>
          <w:i/>
          <w:iCs/>
        </w:rPr>
        <w:t>Staphylococcus aureus</w:t>
      </w:r>
      <w:r w:rsidRPr="0007657F">
        <w:rPr>
          <w:rFonts w:ascii="Times New Roman" w:hAnsi="Times New Roman" w:cs="Times New Roman"/>
        </w:rPr>
        <w:t xml:space="preserve"> (MRSA) is often initiated and/or continued unnecessarily in patients with suspected pneumonia. The MRSA PCR nasal swab (MPNS) can be used to identify MRSA colonization and has a high negative predictive value for pneumonia. Studies have shown that de-escalation of empiric therapy based on MPNS results can decrease duration of therapy without significantly affecting clinical improvement or mortality. St. Peter’s Hospital has implemented a protocol allowing pharmacists to order an MPNS for patients receiving MRSA coverage for suspected pneumonia. </w:t>
      </w:r>
    </w:p>
    <w:p w14:paraId="08C4BDCC" w14:textId="77777777" w:rsidR="0007657F" w:rsidRPr="0007657F" w:rsidRDefault="0007657F" w:rsidP="0007657F">
      <w:pPr>
        <w:rPr>
          <w:rFonts w:ascii="Times New Roman" w:hAnsi="Times New Roman" w:cs="Times New Roman"/>
        </w:rPr>
      </w:pPr>
    </w:p>
    <w:p w14:paraId="7EB1F985" w14:textId="77777777" w:rsidR="0007657F" w:rsidRPr="0007657F" w:rsidRDefault="0007657F" w:rsidP="0007657F">
      <w:pPr>
        <w:rPr>
          <w:rFonts w:ascii="Times New Roman" w:hAnsi="Times New Roman" w:cs="Times New Roman"/>
        </w:rPr>
      </w:pPr>
      <w:r w:rsidRPr="0007657F">
        <w:rPr>
          <w:rFonts w:ascii="Times New Roman" w:hAnsi="Times New Roman" w:cs="Times New Roman"/>
          <w:b/>
        </w:rPr>
        <w:t>Objective</w:t>
      </w:r>
      <w:r w:rsidRPr="0007657F">
        <w:rPr>
          <w:rFonts w:ascii="Times New Roman" w:hAnsi="Times New Roman" w:cs="Times New Roman"/>
        </w:rPr>
        <w:t xml:space="preserve">: To evaluate the efficacy of the MPNS ordering protocol in reducing exposure to empiric MRSA therapy in patients with pneumonia. </w:t>
      </w:r>
    </w:p>
    <w:p w14:paraId="0CBE6F49" w14:textId="77777777" w:rsidR="0007657F" w:rsidRPr="0007657F" w:rsidRDefault="0007657F" w:rsidP="0007657F">
      <w:pPr>
        <w:rPr>
          <w:rFonts w:ascii="Times New Roman" w:hAnsi="Times New Roman" w:cs="Times New Roman"/>
        </w:rPr>
      </w:pPr>
      <w:r w:rsidRPr="0007657F">
        <w:rPr>
          <w:rFonts w:ascii="Times New Roman" w:hAnsi="Times New Roman" w:cs="Times New Roman"/>
        </w:rPr>
        <w:t> </w:t>
      </w:r>
    </w:p>
    <w:p w14:paraId="00C002B0" w14:textId="77777777" w:rsidR="0007657F" w:rsidRPr="0007657F" w:rsidRDefault="0007657F" w:rsidP="0007657F">
      <w:pPr>
        <w:rPr>
          <w:rFonts w:ascii="Times New Roman" w:hAnsi="Times New Roman" w:cs="Times New Roman"/>
        </w:rPr>
      </w:pPr>
      <w:r w:rsidRPr="0007657F">
        <w:rPr>
          <w:rFonts w:ascii="Times New Roman" w:hAnsi="Times New Roman" w:cs="Times New Roman"/>
          <w:b/>
        </w:rPr>
        <w:t>Methods</w:t>
      </w:r>
      <w:r w:rsidRPr="0007657F">
        <w:rPr>
          <w:rFonts w:ascii="Times New Roman" w:hAnsi="Times New Roman" w:cs="Times New Roman"/>
        </w:rPr>
        <w:t>: This was an institutional-review-board-approved, two-phase, retrospective chart review of adult patients, admitted with suspected or confirmed pneumonia, and receiving either intravenous (IV) vancomycin or IV/oral linezolid. Patient records were reviewed for indication, days of therapy, and MPNS result. Phase I reviewed patients prior to protocol implementation. Following this review, education was disseminated to hospitalist providers on empiric MRSA coverage and on the utility of the MPNS. An identical review is currently being conducted to determine the effects of the MPNS ordering protocol.</w:t>
      </w:r>
    </w:p>
    <w:p w14:paraId="6133D222" w14:textId="77777777" w:rsidR="0007657F" w:rsidRPr="0007657F" w:rsidRDefault="0007657F" w:rsidP="0007657F">
      <w:pPr>
        <w:rPr>
          <w:rFonts w:ascii="Times New Roman" w:hAnsi="Times New Roman" w:cs="Times New Roman"/>
        </w:rPr>
      </w:pPr>
    </w:p>
    <w:p w14:paraId="1C114509" w14:textId="77777777" w:rsidR="0007657F" w:rsidRPr="0007657F" w:rsidRDefault="0007657F" w:rsidP="0007657F">
      <w:pPr>
        <w:rPr>
          <w:rFonts w:ascii="Times New Roman" w:hAnsi="Times New Roman" w:cs="Times New Roman"/>
        </w:rPr>
      </w:pPr>
      <w:r w:rsidRPr="0007657F">
        <w:rPr>
          <w:rFonts w:ascii="Times New Roman" w:hAnsi="Times New Roman" w:cs="Times New Roman"/>
          <w:b/>
        </w:rPr>
        <w:t>Results</w:t>
      </w:r>
      <w:r w:rsidRPr="0007657F">
        <w:rPr>
          <w:rFonts w:ascii="Times New Roman" w:hAnsi="Times New Roman" w:cs="Times New Roman"/>
        </w:rPr>
        <w:t>: 267 patients were identified during Phase I, with an average of 2 days of therapy (± 1.5) per patient. 45.3% of patients had an MPNS ordered during their admission. Of the 106 patients with a negative MPNS, only 66% had therapy discontinued within 24 hours of swab collection. Phase II data is currently being reviewed for protocol effectiveness.</w:t>
      </w:r>
    </w:p>
    <w:p w14:paraId="3C2C48CA" w14:textId="5D9231AD" w:rsidR="0007657F" w:rsidRDefault="0007657F" w:rsidP="0007657F">
      <w:pPr>
        <w:rPr>
          <w:rFonts w:ascii="Times New Roman" w:hAnsi="Times New Roman" w:cs="Times New Roman"/>
        </w:rPr>
      </w:pPr>
    </w:p>
    <w:p w14:paraId="4C8897A8" w14:textId="2F2EF1C2" w:rsidR="0007657F" w:rsidRDefault="0007657F" w:rsidP="0007657F">
      <w:pPr>
        <w:rPr>
          <w:rFonts w:ascii="Times New Roman" w:hAnsi="Times New Roman" w:cs="Times New Roman"/>
        </w:rPr>
      </w:pPr>
    </w:p>
    <w:p w14:paraId="36FD5E44" w14:textId="311638C9" w:rsidR="0007657F" w:rsidRDefault="0007657F" w:rsidP="0007657F">
      <w:pPr>
        <w:rPr>
          <w:rFonts w:ascii="Times New Roman" w:hAnsi="Times New Roman" w:cs="Times New Roman"/>
        </w:rPr>
      </w:pPr>
    </w:p>
    <w:p w14:paraId="3C8D47F1" w14:textId="130DC8FD" w:rsidR="0007657F" w:rsidRDefault="0007657F" w:rsidP="0007657F">
      <w:pPr>
        <w:rPr>
          <w:rFonts w:ascii="Times New Roman" w:hAnsi="Times New Roman" w:cs="Times New Roman"/>
        </w:rPr>
      </w:pPr>
    </w:p>
    <w:p w14:paraId="12E43C9F" w14:textId="58F667C4" w:rsidR="0007657F" w:rsidRDefault="0007657F" w:rsidP="0007657F">
      <w:pPr>
        <w:rPr>
          <w:rFonts w:ascii="Times New Roman" w:hAnsi="Times New Roman" w:cs="Times New Roman"/>
        </w:rPr>
      </w:pPr>
    </w:p>
    <w:p w14:paraId="7FF7B965" w14:textId="5D9046CF" w:rsidR="0007657F" w:rsidRDefault="0007657F" w:rsidP="0007657F">
      <w:pPr>
        <w:rPr>
          <w:rFonts w:ascii="Times New Roman" w:hAnsi="Times New Roman" w:cs="Times New Roman"/>
        </w:rPr>
      </w:pPr>
    </w:p>
    <w:p w14:paraId="1E22A58C" w14:textId="77777777" w:rsidR="0007657F" w:rsidRDefault="0007657F" w:rsidP="0007657F">
      <w:pPr>
        <w:spacing w:before="240" w:after="240" w:line="240" w:lineRule="auto"/>
        <w:rPr>
          <w:rFonts w:ascii="Times New Roman" w:hAnsi="Times New Roman" w:cs="Times New Roman"/>
          <w:sz w:val="24"/>
          <w:szCs w:val="20"/>
        </w:rPr>
      </w:pPr>
      <w:r>
        <w:rPr>
          <w:rFonts w:ascii="Times New Roman" w:hAnsi="Times New Roman" w:cs="Times New Roman"/>
          <w:sz w:val="24"/>
          <w:szCs w:val="20"/>
        </w:rPr>
        <w:lastRenderedPageBreak/>
        <w:t>EFFECTIVENESS OF PHARMACIST-LED REMOTE PATIENT MONITORING IN THE MANAGEMENT OF UNCONTROLLED HYPERTENSION IN ADULT AMBULATORY CARE PATIENTS</w:t>
      </w:r>
    </w:p>
    <w:p w14:paraId="3235BF55" w14:textId="77777777" w:rsidR="0007657F" w:rsidRDefault="0007657F" w:rsidP="0007657F">
      <w:pPr>
        <w:spacing w:before="240" w:after="240" w:line="240" w:lineRule="auto"/>
        <w:rPr>
          <w:rFonts w:ascii="Times New Roman" w:hAnsi="Times New Roman" w:cs="Times New Roman"/>
          <w:sz w:val="24"/>
          <w:szCs w:val="20"/>
          <w:u w:val="single"/>
        </w:rPr>
      </w:pPr>
      <w:r>
        <w:rPr>
          <w:rFonts w:ascii="Times New Roman" w:hAnsi="Times New Roman" w:cs="Times New Roman"/>
          <w:sz w:val="24"/>
          <w:szCs w:val="20"/>
          <w:u w:val="single"/>
        </w:rPr>
        <w:t>Chang Y</w:t>
      </w:r>
      <w:r>
        <w:rPr>
          <w:rFonts w:ascii="Times New Roman" w:hAnsi="Times New Roman" w:cs="Times New Roman"/>
          <w:sz w:val="24"/>
          <w:szCs w:val="20"/>
        </w:rPr>
        <w:t xml:space="preserve">*, </w:t>
      </w:r>
      <w:r>
        <w:rPr>
          <w:rFonts w:ascii="Times New Roman" w:hAnsi="Times New Roman" w:cs="Times New Roman"/>
          <w:sz w:val="24"/>
          <w:szCs w:val="20"/>
          <w:u w:val="single"/>
        </w:rPr>
        <w:t>Mathew C</w:t>
      </w:r>
      <w:r>
        <w:rPr>
          <w:rFonts w:ascii="Times New Roman" w:hAnsi="Times New Roman" w:cs="Times New Roman"/>
          <w:sz w:val="24"/>
          <w:szCs w:val="20"/>
        </w:rPr>
        <w:t xml:space="preserve">, </w:t>
      </w:r>
      <w:r>
        <w:rPr>
          <w:rFonts w:ascii="Times New Roman" w:hAnsi="Times New Roman" w:cs="Times New Roman"/>
          <w:sz w:val="24"/>
          <w:szCs w:val="20"/>
          <w:u w:val="single"/>
        </w:rPr>
        <w:t>Ingber A</w:t>
      </w:r>
      <w:r>
        <w:rPr>
          <w:rFonts w:ascii="Times New Roman" w:hAnsi="Times New Roman" w:cs="Times New Roman"/>
          <w:sz w:val="24"/>
          <w:szCs w:val="20"/>
        </w:rPr>
        <w:t xml:space="preserve">, </w:t>
      </w:r>
      <w:r>
        <w:rPr>
          <w:rFonts w:ascii="Times New Roman" w:hAnsi="Times New Roman" w:cs="Times New Roman"/>
          <w:sz w:val="24"/>
          <w:szCs w:val="20"/>
          <w:u w:val="single"/>
        </w:rPr>
        <w:t>Bansal M</w:t>
      </w:r>
      <w:r>
        <w:rPr>
          <w:rFonts w:ascii="Times New Roman" w:hAnsi="Times New Roman" w:cs="Times New Roman"/>
          <w:sz w:val="24"/>
          <w:szCs w:val="20"/>
        </w:rPr>
        <w:t xml:space="preserve">, </w:t>
      </w:r>
      <w:r>
        <w:rPr>
          <w:rFonts w:ascii="Times New Roman" w:hAnsi="Times New Roman" w:cs="Times New Roman"/>
          <w:sz w:val="24"/>
          <w:szCs w:val="20"/>
          <w:u w:val="single"/>
        </w:rPr>
        <w:t>Tiwari R</w:t>
      </w:r>
    </w:p>
    <w:p w14:paraId="52F9E0B1" w14:textId="77777777" w:rsidR="0007657F" w:rsidRDefault="0007657F" w:rsidP="0007657F">
      <w:pPr>
        <w:spacing w:before="240" w:after="240" w:line="240" w:lineRule="auto"/>
        <w:rPr>
          <w:rFonts w:ascii="Times New Roman" w:hAnsi="Times New Roman" w:cs="Times New Roman"/>
          <w:sz w:val="24"/>
          <w:szCs w:val="20"/>
        </w:rPr>
      </w:pPr>
      <w:r>
        <w:rPr>
          <w:rFonts w:ascii="Times New Roman" w:hAnsi="Times New Roman" w:cs="Times New Roman"/>
          <w:sz w:val="24"/>
          <w:szCs w:val="20"/>
        </w:rPr>
        <w:t>Mount Sinai Health Partners, 150 East 42nd Street, Fifth Floor, New York, NY 10017</w:t>
      </w:r>
    </w:p>
    <w:p w14:paraId="572DC4B6" w14:textId="77777777" w:rsidR="0007657F" w:rsidRDefault="0007657F" w:rsidP="0007657F">
      <w:pPr>
        <w:spacing w:before="240" w:after="240" w:line="240" w:lineRule="auto"/>
        <w:rPr>
          <w:rFonts w:ascii="Times New Roman" w:hAnsi="Times New Roman" w:cs="Times New Roman"/>
          <w:sz w:val="24"/>
          <w:szCs w:val="20"/>
        </w:rPr>
      </w:pPr>
      <w:r>
        <w:rPr>
          <w:rFonts w:ascii="Times New Roman" w:hAnsi="Times New Roman" w:cs="Times New Roman"/>
          <w:b/>
          <w:sz w:val="24"/>
          <w:szCs w:val="20"/>
        </w:rPr>
        <w:t>Background</w:t>
      </w:r>
      <w:r>
        <w:rPr>
          <w:rFonts w:ascii="Times New Roman" w:hAnsi="Times New Roman" w:cs="Times New Roman"/>
          <w:sz w:val="24"/>
          <w:szCs w:val="20"/>
        </w:rPr>
        <w:t xml:space="preserve">: Recent studies have demonstrated that remote blood pressure monitoring, which transmits patients’ real-time home blood pressure readings to clinicians, may be more effective in achieving blood pressure goals than no remote monitoring. The COVID-19 pandemic has hastened the need for healthcare providers to be capable of managing and treating patients remotely. This </w:t>
      </w:r>
      <w:r>
        <w:rPr>
          <w:rFonts w:ascii="Times New Roman" w:hAnsi="Times New Roman" w:cs="Times New Roman"/>
          <w:sz w:val="24"/>
          <w:szCs w:val="20"/>
          <w:lang w:eastAsia="ko-KR"/>
        </w:rPr>
        <w:t xml:space="preserve">natural experiment </w:t>
      </w:r>
      <w:r>
        <w:rPr>
          <w:rFonts w:ascii="Times New Roman" w:hAnsi="Times New Roman" w:cs="Times New Roman"/>
          <w:sz w:val="24"/>
          <w:szCs w:val="20"/>
        </w:rPr>
        <w:t>aims to provide insight into the implementation of remote patient monitoring (RPM) services in ambulatory care practices and into the role that pharmacists may assume in remote management of uncontrolled hypertension.</w:t>
      </w:r>
    </w:p>
    <w:p w14:paraId="11E04EDD" w14:textId="77777777" w:rsidR="0007657F" w:rsidRDefault="0007657F" w:rsidP="0007657F">
      <w:pPr>
        <w:spacing w:before="240" w:after="240" w:line="240" w:lineRule="auto"/>
        <w:rPr>
          <w:rFonts w:ascii="Times New Roman" w:hAnsi="Times New Roman" w:cs="Times New Roman"/>
          <w:sz w:val="24"/>
          <w:szCs w:val="20"/>
        </w:rPr>
      </w:pPr>
      <w:r>
        <w:rPr>
          <w:rFonts w:ascii="Times New Roman" w:hAnsi="Times New Roman" w:cs="Times New Roman"/>
          <w:b/>
          <w:sz w:val="24"/>
          <w:szCs w:val="20"/>
        </w:rPr>
        <w:t>Objective</w:t>
      </w:r>
      <w:r>
        <w:rPr>
          <w:rFonts w:ascii="Times New Roman" w:hAnsi="Times New Roman" w:cs="Times New Roman"/>
          <w:sz w:val="24"/>
          <w:szCs w:val="20"/>
        </w:rPr>
        <w:t xml:space="preserve">: The objective of this project is to determine the effect of a pharmacist-led RPM program on in-clinic systolic and diastolic blood pressure. </w:t>
      </w:r>
    </w:p>
    <w:p w14:paraId="653E3878" w14:textId="77777777" w:rsidR="0007657F" w:rsidRDefault="0007657F" w:rsidP="0007657F">
      <w:pPr>
        <w:spacing w:before="240" w:after="240" w:line="240" w:lineRule="auto"/>
        <w:rPr>
          <w:rFonts w:ascii="Times New Roman" w:hAnsi="Times New Roman" w:cs="Times New Roman"/>
          <w:sz w:val="24"/>
          <w:szCs w:val="20"/>
        </w:rPr>
      </w:pPr>
      <w:r>
        <w:rPr>
          <w:rFonts w:ascii="Times New Roman" w:hAnsi="Times New Roman" w:cs="Times New Roman"/>
          <w:b/>
          <w:sz w:val="24"/>
          <w:szCs w:val="20"/>
        </w:rPr>
        <w:t>Methods</w:t>
      </w:r>
      <w:r>
        <w:rPr>
          <w:rFonts w:ascii="Times New Roman" w:hAnsi="Times New Roman" w:cs="Times New Roman"/>
          <w:sz w:val="24"/>
          <w:szCs w:val="20"/>
        </w:rPr>
        <w:t xml:space="preserve">: A natural cohort of 143 patients will be outreached and offered enrollment in pharmacist-led RPM services, based on maximum operational capacity at Mount Sinai primary care practices with pharmacist-led RPM available. Patients eligible for outreach are adult patients with diagnosed hypertension, have an average in-clinic blood pressure above 140/90 mmHg from 1/1/2020 through 10/1/2020, and are eligible for RPM through Medicare or Medicare Advantage coverage. Patients with history of heart transplant, heart failure, hemodialysis dependence, and current pregnancy will be excluded. Those that accept enrollment in RPM will be compared to those who decline RPM enrollment. Any patients referred for RPM in either group will be moved to a third observational cohort. The primary outcome is in-clinic systolic and diastolic blood pressure after three months from initial outreach, compared between groups. All patients outreached will be scheduled for a primary care physician visit after 3 months to measure in-clinic blood pressure, as is current practice. Patients enrolled in RPM services will receive remote blood pressure devices and monthly in-person or telehealth visits with a pharmacist. This project was reviewed and approved by the Quality Improvement Committee at Mount Sinai Health System. </w:t>
      </w:r>
    </w:p>
    <w:p w14:paraId="1F0938AD" w14:textId="77777777" w:rsidR="0007657F" w:rsidRDefault="0007657F" w:rsidP="0007657F">
      <w:pPr>
        <w:spacing w:before="240" w:after="240" w:line="240" w:lineRule="auto"/>
        <w:rPr>
          <w:rFonts w:ascii="Times New Roman" w:hAnsi="Times New Roman" w:cs="Times New Roman"/>
          <w:sz w:val="24"/>
          <w:szCs w:val="20"/>
        </w:rPr>
      </w:pPr>
      <w:r>
        <w:rPr>
          <w:rFonts w:ascii="Times New Roman" w:hAnsi="Times New Roman" w:cs="Times New Roman"/>
          <w:b/>
          <w:sz w:val="24"/>
          <w:szCs w:val="20"/>
        </w:rPr>
        <w:t>Results</w:t>
      </w:r>
      <w:r>
        <w:rPr>
          <w:rFonts w:ascii="Times New Roman" w:hAnsi="Times New Roman" w:cs="Times New Roman"/>
          <w:sz w:val="24"/>
          <w:szCs w:val="20"/>
        </w:rPr>
        <w:t>: In progress</w:t>
      </w:r>
    </w:p>
    <w:p w14:paraId="3FCFF999" w14:textId="77777777" w:rsidR="0007657F" w:rsidRDefault="0007657F" w:rsidP="0007657F">
      <w:pPr>
        <w:spacing w:before="240" w:after="240" w:line="240" w:lineRule="auto"/>
        <w:rPr>
          <w:rFonts w:ascii="Times New Roman" w:hAnsi="Times New Roman" w:cs="Times New Roman"/>
          <w:sz w:val="24"/>
          <w:szCs w:val="20"/>
        </w:rPr>
      </w:pPr>
      <w:r>
        <w:rPr>
          <w:rFonts w:ascii="Times New Roman" w:hAnsi="Times New Roman" w:cs="Times New Roman"/>
          <w:b/>
          <w:sz w:val="24"/>
          <w:szCs w:val="20"/>
        </w:rPr>
        <w:t>Conclusions</w:t>
      </w:r>
      <w:r>
        <w:rPr>
          <w:rFonts w:ascii="Times New Roman" w:hAnsi="Times New Roman" w:cs="Times New Roman"/>
          <w:sz w:val="24"/>
          <w:szCs w:val="20"/>
        </w:rPr>
        <w:t>: In progress</w:t>
      </w:r>
    </w:p>
    <w:p w14:paraId="02F95B6E" w14:textId="28A737A1" w:rsidR="0007657F" w:rsidRDefault="0007657F" w:rsidP="0007657F">
      <w:pPr>
        <w:rPr>
          <w:rFonts w:ascii="Times New Roman" w:hAnsi="Times New Roman" w:cs="Times New Roman"/>
        </w:rPr>
      </w:pPr>
    </w:p>
    <w:p w14:paraId="320DD52F" w14:textId="57B840AB" w:rsidR="0007657F" w:rsidRDefault="0007657F" w:rsidP="0007657F">
      <w:pPr>
        <w:rPr>
          <w:rFonts w:ascii="Times New Roman" w:hAnsi="Times New Roman" w:cs="Times New Roman"/>
        </w:rPr>
      </w:pPr>
    </w:p>
    <w:p w14:paraId="5295BCBB" w14:textId="55763F41" w:rsidR="0007657F" w:rsidRDefault="0007657F" w:rsidP="0007657F">
      <w:pPr>
        <w:rPr>
          <w:rFonts w:ascii="Times New Roman" w:hAnsi="Times New Roman" w:cs="Times New Roman"/>
        </w:rPr>
      </w:pPr>
    </w:p>
    <w:p w14:paraId="34657AFA" w14:textId="342BA4E9" w:rsidR="0007657F" w:rsidRDefault="0007657F" w:rsidP="0007657F">
      <w:pPr>
        <w:rPr>
          <w:rFonts w:ascii="Times New Roman" w:hAnsi="Times New Roman" w:cs="Times New Roman"/>
        </w:rPr>
      </w:pPr>
    </w:p>
    <w:p w14:paraId="09623B31" w14:textId="1885714A" w:rsidR="0007657F" w:rsidRDefault="0007657F" w:rsidP="0007657F">
      <w:pPr>
        <w:rPr>
          <w:rFonts w:ascii="Times New Roman" w:hAnsi="Times New Roman" w:cs="Times New Roman"/>
        </w:rPr>
      </w:pPr>
    </w:p>
    <w:p w14:paraId="5257D6FC" w14:textId="0EDF56BE" w:rsidR="0007657F" w:rsidRDefault="0007657F" w:rsidP="0007657F">
      <w:pPr>
        <w:rPr>
          <w:rFonts w:ascii="Times New Roman" w:hAnsi="Times New Roman" w:cs="Times New Roman"/>
        </w:rPr>
      </w:pPr>
    </w:p>
    <w:p w14:paraId="56BCED9E" w14:textId="77777777" w:rsidR="0007657F" w:rsidRPr="0007657F" w:rsidRDefault="0007657F" w:rsidP="0007657F">
      <w:pPr>
        <w:pStyle w:val="paragraph"/>
        <w:spacing w:before="0" w:beforeAutospacing="0" w:after="0" w:afterAutospacing="0"/>
        <w:textAlignment w:val="baseline"/>
        <w:rPr>
          <w:rStyle w:val="normaltextrun"/>
          <w:sz w:val="22"/>
          <w:szCs w:val="22"/>
        </w:rPr>
      </w:pPr>
      <w:r w:rsidRPr="0007657F">
        <w:rPr>
          <w:rStyle w:val="normaltextrun"/>
          <w:sz w:val="22"/>
          <w:szCs w:val="22"/>
        </w:rPr>
        <w:lastRenderedPageBreak/>
        <w:t>THE IMPLEMENTATION AND OUTCOMES OF AN OPIOID STEWARDSHIP PROGRAM IN A LONG-TERM CARE FACILITY</w:t>
      </w:r>
    </w:p>
    <w:p w14:paraId="28F4ADE1" w14:textId="77777777" w:rsidR="0007657F" w:rsidRPr="0007657F" w:rsidRDefault="0007657F" w:rsidP="0007657F">
      <w:pPr>
        <w:pStyle w:val="paragraph"/>
        <w:spacing w:before="0" w:beforeAutospacing="0" w:after="0" w:afterAutospacing="0"/>
        <w:textAlignment w:val="baseline"/>
        <w:rPr>
          <w:sz w:val="22"/>
          <w:szCs w:val="22"/>
        </w:rPr>
      </w:pPr>
    </w:p>
    <w:p w14:paraId="4DBF4CAE" w14:textId="77777777" w:rsidR="0007657F" w:rsidRPr="0007657F" w:rsidRDefault="0007657F" w:rsidP="0007657F">
      <w:pPr>
        <w:pStyle w:val="paragraph"/>
        <w:spacing w:before="0" w:beforeAutospacing="0" w:after="0" w:afterAutospacing="0"/>
        <w:textAlignment w:val="baseline"/>
        <w:rPr>
          <w:rStyle w:val="normaltextrun"/>
          <w:sz w:val="22"/>
          <w:szCs w:val="22"/>
        </w:rPr>
      </w:pPr>
      <w:r w:rsidRPr="0007657F">
        <w:rPr>
          <w:rStyle w:val="normaltextrun"/>
          <w:sz w:val="22"/>
          <w:szCs w:val="22"/>
          <w:u w:val="single"/>
        </w:rPr>
        <w:t>Chen K</w:t>
      </w:r>
      <w:r w:rsidRPr="0007657F">
        <w:rPr>
          <w:rStyle w:val="normaltextrun"/>
          <w:sz w:val="22"/>
          <w:szCs w:val="22"/>
        </w:rPr>
        <w:t>*, </w:t>
      </w:r>
      <w:r w:rsidRPr="0007657F">
        <w:rPr>
          <w:rStyle w:val="normaltextrun"/>
          <w:sz w:val="22"/>
          <w:szCs w:val="22"/>
          <w:u w:val="single"/>
        </w:rPr>
        <w:t>Lee C</w:t>
      </w:r>
      <w:r w:rsidRPr="0007657F">
        <w:rPr>
          <w:rStyle w:val="normaltextrun"/>
          <w:sz w:val="22"/>
          <w:szCs w:val="22"/>
        </w:rPr>
        <w:t xml:space="preserve">, </w:t>
      </w:r>
      <w:r w:rsidRPr="0007657F">
        <w:rPr>
          <w:rStyle w:val="normaltextrun"/>
          <w:sz w:val="22"/>
          <w:szCs w:val="22"/>
          <w:u w:val="single"/>
        </w:rPr>
        <w:t>Sarehkhatoun R</w:t>
      </w:r>
      <w:r w:rsidRPr="0007657F">
        <w:rPr>
          <w:rStyle w:val="normaltextrun"/>
          <w:sz w:val="22"/>
          <w:szCs w:val="22"/>
        </w:rPr>
        <w:t xml:space="preserve">, </w:t>
      </w:r>
      <w:r w:rsidRPr="0007657F">
        <w:rPr>
          <w:rStyle w:val="normaltextrun"/>
          <w:sz w:val="22"/>
          <w:szCs w:val="22"/>
          <w:u w:val="single"/>
        </w:rPr>
        <w:t>Friedman M</w:t>
      </w:r>
      <w:r w:rsidRPr="0007657F">
        <w:rPr>
          <w:rStyle w:val="normaltextrun"/>
          <w:sz w:val="22"/>
          <w:szCs w:val="22"/>
        </w:rPr>
        <w:t xml:space="preserve">, </w:t>
      </w:r>
      <w:r w:rsidRPr="0007657F">
        <w:rPr>
          <w:rStyle w:val="normaltextrun"/>
          <w:sz w:val="22"/>
          <w:szCs w:val="22"/>
          <w:u w:val="single"/>
        </w:rPr>
        <w:t>Bhandari R</w:t>
      </w:r>
      <w:r w:rsidRPr="0007657F">
        <w:rPr>
          <w:rStyle w:val="normaltextrun"/>
          <w:sz w:val="22"/>
          <w:szCs w:val="22"/>
        </w:rPr>
        <w:t xml:space="preserve">, </w:t>
      </w:r>
      <w:r w:rsidRPr="0007657F">
        <w:rPr>
          <w:rStyle w:val="normaltextrun"/>
          <w:sz w:val="22"/>
          <w:szCs w:val="22"/>
          <w:u w:val="single"/>
        </w:rPr>
        <w:t>Dinescu L</w:t>
      </w:r>
    </w:p>
    <w:p w14:paraId="3EED950A" w14:textId="77777777" w:rsidR="0007657F" w:rsidRPr="0007657F" w:rsidRDefault="0007657F" w:rsidP="0007657F">
      <w:pPr>
        <w:pStyle w:val="paragraph"/>
        <w:spacing w:before="0" w:beforeAutospacing="0" w:after="0" w:afterAutospacing="0"/>
        <w:textAlignment w:val="baseline"/>
        <w:rPr>
          <w:sz w:val="22"/>
          <w:szCs w:val="22"/>
        </w:rPr>
      </w:pPr>
    </w:p>
    <w:p w14:paraId="3B7B74B4" w14:textId="77777777" w:rsidR="0007657F" w:rsidRPr="0007657F" w:rsidRDefault="0007657F" w:rsidP="0007657F">
      <w:pPr>
        <w:pStyle w:val="paragraph"/>
        <w:spacing w:before="0" w:beforeAutospacing="0" w:after="0" w:afterAutospacing="0"/>
        <w:textAlignment w:val="baseline"/>
        <w:rPr>
          <w:sz w:val="22"/>
          <w:szCs w:val="22"/>
        </w:rPr>
      </w:pPr>
      <w:r w:rsidRPr="0007657F">
        <w:rPr>
          <w:rStyle w:val="normaltextrun"/>
          <w:sz w:val="22"/>
          <w:szCs w:val="22"/>
        </w:rPr>
        <w:t>Kingsbrook Jewish Medical Center, 585 Schenectady Ave, Brooklyn, NY 11203</w:t>
      </w:r>
    </w:p>
    <w:p w14:paraId="0A38EF97" w14:textId="77777777" w:rsidR="0007657F" w:rsidRPr="0007657F" w:rsidRDefault="0007657F" w:rsidP="0007657F">
      <w:pPr>
        <w:pStyle w:val="paragraph"/>
        <w:spacing w:before="0" w:beforeAutospacing="0" w:after="0" w:afterAutospacing="0"/>
        <w:textAlignment w:val="baseline"/>
        <w:rPr>
          <w:rStyle w:val="normaltextrun"/>
          <w:sz w:val="22"/>
          <w:szCs w:val="22"/>
        </w:rPr>
      </w:pPr>
      <w:r w:rsidRPr="0007657F">
        <w:rPr>
          <w:rStyle w:val="eop"/>
          <w:sz w:val="22"/>
          <w:szCs w:val="22"/>
        </w:rPr>
        <w:t> </w:t>
      </w:r>
    </w:p>
    <w:p w14:paraId="454C314C" w14:textId="77777777" w:rsidR="0007657F" w:rsidRPr="0007657F" w:rsidRDefault="0007657F" w:rsidP="0007657F">
      <w:pPr>
        <w:pStyle w:val="paragraph"/>
        <w:spacing w:before="0" w:beforeAutospacing="0" w:after="0" w:afterAutospacing="0"/>
        <w:textAlignment w:val="baseline"/>
        <w:rPr>
          <w:sz w:val="22"/>
          <w:szCs w:val="22"/>
          <w:shd w:val="clear" w:color="auto" w:fill="FFFFFF"/>
        </w:rPr>
      </w:pPr>
      <w:r w:rsidRPr="0007657F">
        <w:rPr>
          <w:rStyle w:val="normaltextrun"/>
          <w:b/>
          <w:bCs/>
          <w:sz w:val="22"/>
          <w:szCs w:val="22"/>
        </w:rPr>
        <w:t>Purpose:</w:t>
      </w:r>
      <w:r w:rsidRPr="0007657F">
        <w:rPr>
          <w:rStyle w:val="normaltextrun"/>
          <w:sz w:val="22"/>
          <w:szCs w:val="22"/>
        </w:rPr>
        <w:t> Inappropriate usage of opioids for chronic pain results in poor patient outcomes, suboptimal pain management, and opioid-related adverse effects. The purpose of this study is to design and implement an opioid stewardship program at a long-term care facility</w:t>
      </w:r>
      <w:r w:rsidRPr="0007657F">
        <w:rPr>
          <w:sz w:val="22"/>
          <w:szCs w:val="22"/>
          <w:shd w:val="clear" w:color="auto" w:fill="FFFFFF"/>
        </w:rPr>
        <w:t xml:space="preserve"> and to evaluate the outcomes of pharmacists’ interventions.</w:t>
      </w:r>
    </w:p>
    <w:p w14:paraId="170C085A" w14:textId="77777777" w:rsidR="0007657F" w:rsidRPr="0007657F" w:rsidRDefault="0007657F" w:rsidP="0007657F">
      <w:pPr>
        <w:pStyle w:val="paragraph"/>
        <w:spacing w:before="0" w:beforeAutospacing="0" w:after="0" w:afterAutospacing="0"/>
        <w:textAlignment w:val="baseline"/>
        <w:rPr>
          <w:sz w:val="22"/>
          <w:szCs w:val="22"/>
        </w:rPr>
      </w:pPr>
    </w:p>
    <w:p w14:paraId="43A93312" w14:textId="77777777" w:rsidR="0007657F" w:rsidRPr="0007657F" w:rsidRDefault="0007657F" w:rsidP="0007657F">
      <w:pPr>
        <w:pStyle w:val="paragraph"/>
        <w:spacing w:before="0" w:beforeAutospacing="0" w:after="0" w:afterAutospacing="0"/>
        <w:textAlignment w:val="baseline"/>
        <w:rPr>
          <w:sz w:val="22"/>
          <w:szCs w:val="22"/>
        </w:rPr>
      </w:pPr>
      <w:r w:rsidRPr="0007657F">
        <w:rPr>
          <w:rStyle w:val="normaltextrun"/>
          <w:b/>
          <w:bCs/>
          <w:sz w:val="22"/>
          <w:szCs w:val="22"/>
        </w:rPr>
        <w:t>Methods:</w:t>
      </w:r>
      <w:r w:rsidRPr="0007657F">
        <w:rPr>
          <w:rStyle w:val="normaltextrun"/>
          <w:sz w:val="22"/>
          <w:szCs w:val="22"/>
        </w:rPr>
        <w:t xml:space="preserve"> This is a single-centered, prospective, pre-and post- intervention, quality improvement, and medication use evaluation study including Rutland Nursing Home residents 18 years and older on one or more opioid medications. A multidisciplinary team including pain specialists, attending physicians, and pharmacists </w:t>
      </w:r>
      <w:r w:rsidRPr="0007657F">
        <w:rPr>
          <w:sz w:val="22"/>
          <w:szCs w:val="22"/>
        </w:rPr>
        <w:t xml:space="preserve">worked collaboratively to develop a protocol. </w:t>
      </w:r>
      <w:r w:rsidRPr="0007657F">
        <w:rPr>
          <w:rStyle w:val="normaltextrun"/>
          <w:sz w:val="22"/>
          <w:szCs w:val="22"/>
        </w:rPr>
        <w:t xml:space="preserve">Clinical pharmacists utilized the privileges of New York State’s Collaborative Drug Therapy Management capabilities to make interventions and lead the opioid stewardship program. Pre- and post-intervention metric outcomes including percentage of patients on chronic opioids, naloxone co-prescription, bowel regimen co-prescription, average pain scale utilizing the Numerical Rating Scale and Wong-Baker FACES Scale, average morphine milligram equivalent (MME), and compliance with pain management consults were assessed. </w:t>
      </w:r>
    </w:p>
    <w:p w14:paraId="4D19133A" w14:textId="77777777" w:rsidR="0007657F" w:rsidRPr="0007657F" w:rsidRDefault="0007657F" w:rsidP="0007657F">
      <w:pPr>
        <w:pStyle w:val="paragraph"/>
        <w:spacing w:before="0" w:beforeAutospacing="0" w:after="0" w:afterAutospacing="0"/>
        <w:textAlignment w:val="baseline"/>
        <w:rPr>
          <w:sz w:val="22"/>
          <w:szCs w:val="22"/>
        </w:rPr>
      </w:pPr>
    </w:p>
    <w:p w14:paraId="5603822B" w14:textId="77777777" w:rsidR="0007657F" w:rsidRPr="0007657F" w:rsidRDefault="0007657F" w:rsidP="0007657F">
      <w:pPr>
        <w:pStyle w:val="paragraph"/>
        <w:spacing w:before="0" w:beforeAutospacing="0" w:after="0" w:afterAutospacing="0"/>
        <w:textAlignment w:val="baseline"/>
        <w:rPr>
          <w:rStyle w:val="normaltextrun"/>
          <w:sz w:val="22"/>
          <w:szCs w:val="22"/>
        </w:rPr>
      </w:pPr>
      <w:r w:rsidRPr="0007657F">
        <w:rPr>
          <w:rStyle w:val="normaltextrun"/>
          <w:b/>
          <w:bCs/>
          <w:sz w:val="22"/>
          <w:szCs w:val="22"/>
        </w:rPr>
        <w:t>Results</w:t>
      </w:r>
      <w:r w:rsidRPr="0007657F">
        <w:rPr>
          <w:rStyle w:val="normaltextrun"/>
          <w:sz w:val="22"/>
          <w:szCs w:val="22"/>
        </w:rPr>
        <w:t xml:space="preserve">: Pending </w:t>
      </w:r>
    </w:p>
    <w:p w14:paraId="5FA58D40" w14:textId="77777777" w:rsidR="0007657F" w:rsidRPr="0007657F" w:rsidRDefault="0007657F" w:rsidP="0007657F">
      <w:pPr>
        <w:pStyle w:val="paragraph"/>
        <w:spacing w:before="0" w:beforeAutospacing="0" w:after="0" w:afterAutospacing="0"/>
        <w:textAlignment w:val="baseline"/>
        <w:rPr>
          <w:sz w:val="22"/>
          <w:szCs w:val="22"/>
        </w:rPr>
      </w:pPr>
      <w:r w:rsidRPr="0007657F">
        <w:rPr>
          <w:rStyle w:val="eop"/>
          <w:sz w:val="22"/>
          <w:szCs w:val="22"/>
        </w:rPr>
        <w:t> </w:t>
      </w:r>
    </w:p>
    <w:p w14:paraId="6D28C416" w14:textId="77777777" w:rsidR="0007657F" w:rsidRPr="0007657F" w:rsidRDefault="0007657F" w:rsidP="0007657F">
      <w:pPr>
        <w:pStyle w:val="paragraph"/>
        <w:spacing w:before="0" w:beforeAutospacing="0" w:after="0" w:afterAutospacing="0"/>
        <w:textAlignment w:val="baseline"/>
        <w:rPr>
          <w:sz w:val="22"/>
          <w:szCs w:val="22"/>
        </w:rPr>
      </w:pPr>
      <w:r w:rsidRPr="0007657F">
        <w:rPr>
          <w:rStyle w:val="normaltextrun"/>
          <w:b/>
          <w:bCs/>
          <w:sz w:val="22"/>
          <w:szCs w:val="22"/>
        </w:rPr>
        <w:t>Conclusion</w:t>
      </w:r>
      <w:r w:rsidRPr="0007657F">
        <w:rPr>
          <w:rStyle w:val="normaltextrun"/>
          <w:sz w:val="22"/>
          <w:szCs w:val="22"/>
        </w:rPr>
        <w:t xml:space="preserve">: Pending </w:t>
      </w:r>
    </w:p>
    <w:p w14:paraId="290F7EA8" w14:textId="7A431C47" w:rsidR="0007657F" w:rsidRDefault="0007657F" w:rsidP="0007657F">
      <w:pPr>
        <w:rPr>
          <w:rFonts w:ascii="Times New Roman" w:hAnsi="Times New Roman" w:cs="Times New Roman"/>
        </w:rPr>
      </w:pPr>
    </w:p>
    <w:p w14:paraId="7BA0C367" w14:textId="6175511C" w:rsidR="0007657F" w:rsidRDefault="0007657F" w:rsidP="0007657F">
      <w:pPr>
        <w:rPr>
          <w:rFonts w:ascii="Times New Roman" w:hAnsi="Times New Roman" w:cs="Times New Roman"/>
        </w:rPr>
      </w:pPr>
    </w:p>
    <w:p w14:paraId="6CB58167" w14:textId="0A322B48" w:rsidR="0007657F" w:rsidRDefault="0007657F" w:rsidP="0007657F">
      <w:pPr>
        <w:rPr>
          <w:rFonts w:ascii="Times New Roman" w:hAnsi="Times New Roman" w:cs="Times New Roman"/>
        </w:rPr>
      </w:pPr>
    </w:p>
    <w:p w14:paraId="41B31B22" w14:textId="0F24C71D" w:rsidR="0007657F" w:rsidRDefault="0007657F" w:rsidP="0007657F">
      <w:pPr>
        <w:rPr>
          <w:rFonts w:ascii="Times New Roman" w:hAnsi="Times New Roman" w:cs="Times New Roman"/>
        </w:rPr>
      </w:pPr>
    </w:p>
    <w:p w14:paraId="10F75C42" w14:textId="7C9B16B5" w:rsidR="0007657F" w:rsidRDefault="0007657F" w:rsidP="0007657F">
      <w:pPr>
        <w:rPr>
          <w:rFonts w:ascii="Times New Roman" w:hAnsi="Times New Roman" w:cs="Times New Roman"/>
        </w:rPr>
      </w:pPr>
    </w:p>
    <w:p w14:paraId="64C30993" w14:textId="295334EE" w:rsidR="0007657F" w:rsidRDefault="0007657F" w:rsidP="0007657F">
      <w:pPr>
        <w:rPr>
          <w:rFonts w:ascii="Times New Roman" w:hAnsi="Times New Roman" w:cs="Times New Roman"/>
        </w:rPr>
      </w:pPr>
    </w:p>
    <w:p w14:paraId="782250D8" w14:textId="57846C1F" w:rsidR="0007657F" w:rsidRDefault="0007657F" w:rsidP="0007657F">
      <w:pPr>
        <w:rPr>
          <w:rFonts w:ascii="Times New Roman" w:hAnsi="Times New Roman" w:cs="Times New Roman"/>
        </w:rPr>
      </w:pPr>
    </w:p>
    <w:p w14:paraId="0E34D2A2" w14:textId="1B813D83" w:rsidR="0007657F" w:rsidRDefault="0007657F" w:rsidP="0007657F">
      <w:pPr>
        <w:rPr>
          <w:rFonts w:ascii="Times New Roman" w:hAnsi="Times New Roman" w:cs="Times New Roman"/>
        </w:rPr>
      </w:pPr>
    </w:p>
    <w:p w14:paraId="482187F5" w14:textId="496992C7" w:rsidR="0007657F" w:rsidRDefault="0007657F" w:rsidP="0007657F">
      <w:pPr>
        <w:rPr>
          <w:rFonts w:ascii="Times New Roman" w:hAnsi="Times New Roman" w:cs="Times New Roman"/>
        </w:rPr>
      </w:pPr>
    </w:p>
    <w:p w14:paraId="7230AEC9" w14:textId="50AE54B2" w:rsidR="0007657F" w:rsidRDefault="0007657F" w:rsidP="0007657F">
      <w:pPr>
        <w:rPr>
          <w:rFonts w:ascii="Times New Roman" w:hAnsi="Times New Roman" w:cs="Times New Roman"/>
        </w:rPr>
      </w:pPr>
    </w:p>
    <w:p w14:paraId="4AF41E49" w14:textId="123AA665" w:rsidR="0007657F" w:rsidRDefault="0007657F" w:rsidP="0007657F">
      <w:pPr>
        <w:rPr>
          <w:rFonts w:ascii="Times New Roman" w:hAnsi="Times New Roman" w:cs="Times New Roman"/>
        </w:rPr>
      </w:pPr>
    </w:p>
    <w:p w14:paraId="6F0E3C4B" w14:textId="102BEDA7" w:rsidR="0007657F" w:rsidRDefault="0007657F" w:rsidP="0007657F">
      <w:pPr>
        <w:rPr>
          <w:rFonts w:ascii="Times New Roman" w:hAnsi="Times New Roman" w:cs="Times New Roman"/>
        </w:rPr>
      </w:pPr>
    </w:p>
    <w:p w14:paraId="0048E26F" w14:textId="072369BC" w:rsidR="0007657F" w:rsidRDefault="0007657F" w:rsidP="0007657F">
      <w:pPr>
        <w:rPr>
          <w:rFonts w:ascii="Times New Roman" w:hAnsi="Times New Roman" w:cs="Times New Roman"/>
        </w:rPr>
      </w:pPr>
    </w:p>
    <w:p w14:paraId="749C079E" w14:textId="20DD3B11" w:rsidR="0007657F" w:rsidRDefault="0007657F" w:rsidP="0007657F">
      <w:pPr>
        <w:rPr>
          <w:rFonts w:ascii="Times New Roman" w:hAnsi="Times New Roman" w:cs="Times New Roman"/>
        </w:rPr>
      </w:pPr>
    </w:p>
    <w:p w14:paraId="694DA93F" w14:textId="6362C8D3" w:rsidR="0007657F" w:rsidRDefault="0007657F" w:rsidP="0007657F">
      <w:pPr>
        <w:rPr>
          <w:rFonts w:ascii="Times New Roman" w:hAnsi="Times New Roman" w:cs="Times New Roman"/>
        </w:rPr>
      </w:pPr>
    </w:p>
    <w:p w14:paraId="1111BD3F" w14:textId="77777777" w:rsidR="0007657F" w:rsidRPr="0007657F" w:rsidRDefault="0007657F" w:rsidP="0007657F">
      <w:pPr>
        <w:spacing w:line="240" w:lineRule="auto"/>
        <w:rPr>
          <w:rFonts w:ascii="Times New Roman" w:eastAsia="Times New Roman" w:hAnsi="Times New Roman" w:cs="Times New Roman"/>
        </w:rPr>
      </w:pPr>
      <w:r w:rsidRPr="0007657F">
        <w:rPr>
          <w:rFonts w:ascii="Times New Roman" w:eastAsia="Times New Roman" w:hAnsi="Times New Roman" w:cs="Times New Roman"/>
        </w:rPr>
        <w:lastRenderedPageBreak/>
        <w:t xml:space="preserve">NATIONWIDE CROSS-SECTIONAL SURVEY ON BETA-LACTAM THERAPEUTIC DRUG MONITORING AND BARRIERS TO IMPLEMENTATION </w:t>
      </w:r>
    </w:p>
    <w:p w14:paraId="7095C737" w14:textId="77777777" w:rsidR="0007657F" w:rsidRPr="0007657F" w:rsidRDefault="0007657F" w:rsidP="0007657F">
      <w:pPr>
        <w:spacing w:line="240" w:lineRule="auto"/>
        <w:rPr>
          <w:rFonts w:ascii="Times New Roman" w:eastAsia="Times New Roman" w:hAnsi="Times New Roman" w:cs="Times New Roman"/>
        </w:rPr>
      </w:pPr>
    </w:p>
    <w:p w14:paraId="3D088510" w14:textId="77777777" w:rsidR="0007657F" w:rsidRPr="0007657F" w:rsidRDefault="0007657F" w:rsidP="0007657F">
      <w:pPr>
        <w:spacing w:line="240" w:lineRule="auto"/>
        <w:rPr>
          <w:rFonts w:ascii="Times New Roman" w:eastAsia="Times New Roman" w:hAnsi="Times New Roman" w:cs="Times New Roman"/>
          <w:u w:val="single"/>
        </w:rPr>
      </w:pPr>
      <w:r w:rsidRPr="0007657F">
        <w:rPr>
          <w:rFonts w:ascii="Times New Roman" w:eastAsia="Times New Roman" w:hAnsi="Times New Roman" w:cs="Times New Roman"/>
          <w:u w:val="single"/>
        </w:rPr>
        <w:t>Chen C*</w:t>
      </w:r>
      <w:r w:rsidRPr="0007657F">
        <w:rPr>
          <w:rFonts w:ascii="Times New Roman" w:eastAsia="Times New Roman" w:hAnsi="Times New Roman" w:cs="Times New Roman"/>
        </w:rPr>
        <w:t xml:space="preserve">, </w:t>
      </w:r>
      <w:r w:rsidRPr="0007657F">
        <w:rPr>
          <w:rFonts w:ascii="Times New Roman" w:eastAsia="Times New Roman" w:hAnsi="Times New Roman" w:cs="Times New Roman"/>
          <w:u w:val="single"/>
        </w:rPr>
        <w:t>Seabury R</w:t>
      </w:r>
      <w:r w:rsidRPr="0007657F">
        <w:rPr>
          <w:rFonts w:ascii="Times New Roman" w:eastAsia="Times New Roman" w:hAnsi="Times New Roman" w:cs="Times New Roman"/>
        </w:rPr>
        <w:t xml:space="preserve">, </w:t>
      </w:r>
      <w:r w:rsidRPr="0007657F">
        <w:rPr>
          <w:rFonts w:ascii="Times New Roman" w:eastAsia="Times New Roman" w:hAnsi="Times New Roman" w:cs="Times New Roman"/>
          <w:u w:val="single"/>
        </w:rPr>
        <w:t>Steele J</w:t>
      </w:r>
      <w:r w:rsidRPr="0007657F">
        <w:rPr>
          <w:rFonts w:ascii="Times New Roman" w:eastAsia="Times New Roman" w:hAnsi="Times New Roman" w:cs="Times New Roman"/>
        </w:rPr>
        <w:t xml:space="preserve">, </w:t>
      </w:r>
      <w:r w:rsidRPr="0007657F">
        <w:rPr>
          <w:rFonts w:ascii="Times New Roman" w:eastAsia="Times New Roman" w:hAnsi="Times New Roman" w:cs="Times New Roman"/>
          <w:u w:val="single"/>
        </w:rPr>
        <w:t>Parsels K</w:t>
      </w:r>
      <w:r w:rsidRPr="0007657F">
        <w:rPr>
          <w:rFonts w:ascii="Times New Roman" w:eastAsia="Times New Roman" w:hAnsi="Times New Roman" w:cs="Times New Roman"/>
        </w:rPr>
        <w:t xml:space="preserve">, </w:t>
      </w:r>
      <w:r w:rsidRPr="0007657F">
        <w:rPr>
          <w:rFonts w:ascii="Times New Roman" w:eastAsia="Times New Roman" w:hAnsi="Times New Roman" w:cs="Times New Roman"/>
          <w:u w:val="single"/>
        </w:rPr>
        <w:t>Darko W</w:t>
      </w:r>
      <w:r w:rsidRPr="0007657F">
        <w:rPr>
          <w:rFonts w:ascii="Times New Roman" w:eastAsia="Times New Roman" w:hAnsi="Times New Roman" w:cs="Times New Roman"/>
        </w:rPr>
        <w:t xml:space="preserve">, </w:t>
      </w:r>
      <w:r w:rsidRPr="0007657F">
        <w:rPr>
          <w:rFonts w:ascii="Times New Roman" w:eastAsia="Times New Roman" w:hAnsi="Times New Roman" w:cs="Times New Roman"/>
          <w:u w:val="single"/>
        </w:rPr>
        <w:t>Miller C</w:t>
      </w:r>
      <w:r w:rsidRPr="0007657F">
        <w:rPr>
          <w:rFonts w:ascii="Times New Roman" w:eastAsia="Times New Roman" w:hAnsi="Times New Roman" w:cs="Times New Roman"/>
        </w:rPr>
        <w:t xml:space="preserve">, </w:t>
      </w:r>
      <w:r w:rsidRPr="0007657F">
        <w:rPr>
          <w:rFonts w:ascii="Times New Roman" w:eastAsia="Times New Roman" w:hAnsi="Times New Roman" w:cs="Times New Roman"/>
          <w:u w:val="single"/>
        </w:rPr>
        <w:t>Probst L</w:t>
      </w:r>
      <w:r w:rsidRPr="0007657F">
        <w:rPr>
          <w:rFonts w:ascii="Times New Roman" w:eastAsia="Times New Roman" w:hAnsi="Times New Roman" w:cs="Times New Roman"/>
        </w:rPr>
        <w:t xml:space="preserve">, </w:t>
      </w:r>
      <w:r w:rsidRPr="0007657F">
        <w:rPr>
          <w:rFonts w:ascii="Times New Roman" w:eastAsia="Times New Roman" w:hAnsi="Times New Roman" w:cs="Times New Roman"/>
          <w:u w:val="single"/>
        </w:rPr>
        <w:t>Kufel W</w:t>
      </w:r>
    </w:p>
    <w:p w14:paraId="0AE588DD" w14:textId="77777777" w:rsidR="0007657F" w:rsidRPr="0007657F" w:rsidRDefault="0007657F" w:rsidP="0007657F">
      <w:pPr>
        <w:spacing w:line="240" w:lineRule="auto"/>
        <w:rPr>
          <w:rFonts w:ascii="Times New Roman" w:eastAsia="Times New Roman" w:hAnsi="Times New Roman" w:cs="Times New Roman"/>
        </w:rPr>
      </w:pPr>
    </w:p>
    <w:p w14:paraId="22C035CB" w14:textId="77777777" w:rsidR="0007657F" w:rsidRPr="0007657F" w:rsidRDefault="0007657F" w:rsidP="0007657F">
      <w:pPr>
        <w:spacing w:line="240" w:lineRule="auto"/>
        <w:rPr>
          <w:rFonts w:ascii="Times New Roman" w:eastAsia="Times New Roman" w:hAnsi="Times New Roman" w:cs="Times New Roman"/>
        </w:rPr>
      </w:pPr>
      <w:r w:rsidRPr="0007657F">
        <w:rPr>
          <w:rFonts w:ascii="Times New Roman" w:eastAsia="Times New Roman" w:hAnsi="Times New Roman" w:cs="Times New Roman"/>
        </w:rPr>
        <w:t xml:space="preserve">Upstate University Hospital, 750 East Adams St, Syracuse, NY 13210 </w:t>
      </w:r>
    </w:p>
    <w:p w14:paraId="42DC665E" w14:textId="77777777" w:rsidR="0007657F" w:rsidRPr="0007657F" w:rsidRDefault="0007657F" w:rsidP="0007657F">
      <w:pPr>
        <w:spacing w:line="240" w:lineRule="auto"/>
        <w:rPr>
          <w:rFonts w:ascii="Times New Roman" w:eastAsia="Times New Roman" w:hAnsi="Times New Roman" w:cs="Times New Roman"/>
        </w:rPr>
      </w:pPr>
    </w:p>
    <w:p w14:paraId="1C4FF1C7" w14:textId="77777777" w:rsidR="0007657F" w:rsidRPr="0007657F" w:rsidRDefault="0007657F" w:rsidP="0007657F">
      <w:pPr>
        <w:spacing w:line="240" w:lineRule="auto"/>
        <w:rPr>
          <w:rFonts w:ascii="Times New Roman" w:eastAsia="Times New Roman" w:hAnsi="Times New Roman" w:cs="Times New Roman"/>
        </w:rPr>
      </w:pPr>
      <w:r w:rsidRPr="0007657F">
        <w:rPr>
          <w:rFonts w:ascii="Times New Roman" w:eastAsia="Times New Roman" w:hAnsi="Times New Roman" w:cs="Times New Roman"/>
          <w:b/>
        </w:rPr>
        <w:t xml:space="preserve">Background: </w:t>
      </w:r>
      <w:r w:rsidRPr="0007657F">
        <w:rPr>
          <w:rFonts w:ascii="Times New Roman" w:eastAsia="Times New Roman" w:hAnsi="Times New Roman" w:cs="Times New Roman"/>
        </w:rPr>
        <w:t>Clinicians and guidelines worldwide are recognizing the need for beta-lactam therapeutic drug monitoring (TDM), but there is a lack of published data assessing the prevalence and barriers to beta-lactam TDM implementation in the United States.</w:t>
      </w:r>
    </w:p>
    <w:p w14:paraId="41FB19AA" w14:textId="77777777" w:rsidR="0007657F" w:rsidRPr="0007657F" w:rsidRDefault="0007657F" w:rsidP="0007657F">
      <w:pPr>
        <w:spacing w:line="240" w:lineRule="auto"/>
        <w:rPr>
          <w:rFonts w:ascii="Times New Roman" w:eastAsia="Times New Roman" w:hAnsi="Times New Roman" w:cs="Times New Roman"/>
        </w:rPr>
      </w:pPr>
    </w:p>
    <w:p w14:paraId="59145557" w14:textId="77777777" w:rsidR="0007657F" w:rsidRPr="0007657F" w:rsidRDefault="0007657F" w:rsidP="0007657F">
      <w:pPr>
        <w:spacing w:line="240" w:lineRule="auto"/>
        <w:rPr>
          <w:rFonts w:ascii="Times New Roman" w:eastAsia="Times New Roman" w:hAnsi="Times New Roman" w:cs="Times New Roman"/>
        </w:rPr>
      </w:pPr>
      <w:r w:rsidRPr="0007657F">
        <w:rPr>
          <w:rFonts w:ascii="Times New Roman" w:eastAsia="Times New Roman" w:hAnsi="Times New Roman" w:cs="Times New Roman"/>
          <w:b/>
        </w:rPr>
        <w:t xml:space="preserve">Objective: </w:t>
      </w:r>
      <w:r w:rsidRPr="0007657F">
        <w:rPr>
          <w:rFonts w:ascii="Times New Roman" w:eastAsia="Times New Roman" w:hAnsi="Times New Roman" w:cs="Times New Roman"/>
        </w:rPr>
        <w:t xml:space="preserve">This survey sought to estimate the prevalence, describe the practices and identify actual and perceived barriers to implementation of beta-lactam TDM in American hospitals. </w:t>
      </w:r>
    </w:p>
    <w:p w14:paraId="7C1AC87D" w14:textId="77777777" w:rsidR="0007657F" w:rsidRPr="0007657F" w:rsidRDefault="0007657F" w:rsidP="0007657F">
      <w:pPr>
        <w:spacing w:line="240" w:lineRule="auto"/>
        <w:rPr>
          <w:rFonts w:ascii="Times New Roman" w:eastAsia="Times New Roman" w:hAnsi="Times New Roman" w:cs="Times New Roman"/>
          <w:b/>
        </w:rPr>
      </w:pPr>
    </w:p>
    <w:p w14:paraId="2A8A541B" w14:textId="77777777" w:rsidR="0007657F" w:rsidRPr="0007657F" w:rsidRDefault="0007657F" w:rsidP="0007657F">
      <w:pPr>
        <w:spacing w:line="240" w:lineRule="auto"/>
        <w:rPr>
          <w:rFonts w:ascii="Times New Roman" w:eastAsia="Times New Roman" w:hAnsi="Times New Roman" w:cs="Times New Roman"/>
        </w:rPr>
      </w:pPr>
      <w:r w:rsidRPr="0007657F">
        <w:rPr>
          <w:rFonts w:ascii="Times New Roman" w:eastAsia="Times New Roman" w:hAnsi="Times New Roman" w:cs="Times New Roman"/>
          <w:b/>
        </w:rPr>
        <w:t xml:space="preserve">Methods: </w:t>
      </w:r>
      <w:r w:rsidRPr="0007657F">
        <w:rPr>
          <w:rFonts w:ascii="Times New Roman" w:eastAsia="Times New Roman" w:hAnsi="Times New Roman" w:cs="Times New Roman"/>
        </w:rPr>
        <w:t>This study is a multicenter, cross-sectional survey of hospitals with a postgraduate year two (PGY2) infectious diseases (ID) pharmacy residency program. A 41-item electronic survey was developed by three study investigators and validated by two pharmacy residency directors and two ID pharmacists. The survey was sent electronically to all PGY2 ID residency directors listed on the American Society of Health-Systems Pharmacists website. Weekly reminder emails will continue to be sent over a five-week period. This project was granted an exemption from review by the Institutional Review Board.</w:t>
      </w:r>
    </w:p>
    <w:p w14:paraId="17C94A7B" w14:textId="77777777" w:rsidR="0007657F" w:rsidRPr="0007657F" w:rsidRDefault="0007657F" w:rsidP="0007657F">
      <w:pPr>
        <w:spacing w:line="240" w:lineRule="auto"/>
        <w:rPr>
          <w:rFonts w:ascii="Times New Roman" w:eastAsia="Times New Roman" w:hAnsi="Times New Roman" w:cs="Times New Roman"/>
          <w:b/>
        </w:rPr>
      </w:pPr>
    </w:p>
    <w:p w14:paraId="203B0CC7" w14:textId="77777777" w:rsidR="0007657F" w:rsidRPr="0007657F" w:rsidRDefault="0007657F" w:rsidP="0007657F">
      <w:pPr>
        <w:spacing w:line="240" w:lineRule="auto"/>
        <w:rPr>
          <w:rFonts w:ascii="Times New Roman" w:eastAsia="Times New Roman" w:hAnsi="Times New Roman" w:cs="Times New Roman"/>
        </w:rPr>
      </w:pPr>
      <w:r w:rsidRPr="0007657F">
        <w:rPr>
          <w:rFonts w:ascii="Times New Roman" w:eastAsia="Times New Roman" w:hAnsi="Times New Roman" w:cs="Times New Roman"/>
          <w:b/>
        </w:rPr>
        <w:t xml:space="preserve">Results: </w:t>
      </w:r>
      <w:r w:rsidRPr="0007657F">
        <w:rPr>
          <w:rFonts w:ascii="Times New Roman" w:eastAsia="Times New Roman" w:hAnsi="Times New Roman" w:cs="Times New Roman"/>
        </w:rPr>
        <w:t>The survey was sent to the residency director of 129 PGY2 ID pharmacy residencies and preliminary results indicate a response rate of 22.4% (29/129) to date. 10.3% (3/29) of the respondents stated their institution had an established beta-lactam TDM program.</w:t>
      </w:r>
    </w:p>
    <w:p w14:paraId="1465FBB2" w14:textId="77777777" w:rsidR="0007657F" w:rsidRPr="0007657F" w:rsidRDefault="0007657F" w:rsidP="0007657F">
      <w:pPr>
        <w:spacing w:line="240" w:lineRule="auto"/>
        <w:rPr>
          <w:rFonts w:ascii="Times New Roman" w:eastAsia="Times New Roman" w:hAnsi="Times New Roman" w:cs="Times New Roman"/>
        </w:rPr>
      </w:pPr>
    </w:p>
    <w:p w14:paraId="2775A77E" w14:textId="77777777" w:rsidR="0007657F" w:rsidRPr="0007657F" w:rsidRDefault="0007657F" w:rsidP="0007657F">
      <w:pPr>
        <w:spacing w:line="240" w:lineRule="auto"/>
        <w:rPr>
          <w:rFonts w:ascii="Times New Roman" w:eastAsia="Times New Roman" w:hAnsi="Times New Roman" w:cs="Times New Roman"/>
        </w:rPr>
      </w:pPr>
      <w:r w:rsidRPr="0007657F">
        <w:rPr>
          <w:rFonts w:ascii="Times New Roman" w:eastAsia="Times New Roman" w:hAnsi="Times New Roman" w:cs="Times New Roman"/>
          <w:b/>
        </w:rPr>
        <w:t xml:space="preserve">Conclusions: </w:t>
      </w:r>
      <w:r w:rsidRPr="0007657F">
        <w:rPr>
          <w:rFonts w:ascii="Times New Roman" w:eastAsia="Times New Roman" w:hAnsi="Times New Roman" w:cs="Times New Roman"/>
        </w:rPr>
        <w:t>Full results and conclusion on final data analysis will be presented at the Residency Research Practice Forum.</w:t>
      </w:r>
    </w:p>
    <w:p w14:paraId="5FBF38EB" w14:textId="77777777" w:rsidR="0007657F" w:rsidRDefault="0007657F" w:rsidP="0007657F">
      <w:pPr>
        <w:rPr>
          <w:rFonts w:ascii="Times New Roman" w:hAnsi="Times New Roman" w:cs="Times New Roman"/>
        </w:rPr>
      </w:pPr>
    </w:p>
    <w:p w14:paraId="654511AD" w14:textId="67A75FB8" w:rsidR="0007657F" w:rsidRDefault="0007657F" w:rsidP="0007657F"/>
    <w:p w14:paraId="1B0FF29C" w14:textId="4DDAF934" w:rsidR="0007657F" w:rsidRDefault="0007657F" w:rsidP="0007657F"/>
    <w:p w14:paraId="64971203" w14:textId="129AD9EE" w:rsidR="0007657F" w:rsidRDefault="0007657F" w:rsidP="0007657F"/>
    <w:p w14:paraId="59A734F5" w14:textId="7EA78F5D" w:rsidR="0007657F" w:rsidRDefault="0007657F" w:rsidP="0007657F"/>
    <w:p w14:paraId="7D33E65B" w14:textId="4B192FC3" w:rsidR="0007657F" w:rsidRDefault="0007657F" w:rsidP="0007657F"/>
    <w:p w14:paraId="204A2BAD" w14:textId="587A4B89" w:rsidR="0007657F" w:rsidRDefault="0007657F" w:rsidP="0007657F"/>
    <w:p w14:paraId="14FD16AF" w14:textId="4C5BF0AB" w:rsidR="0007657F" w:rsidRDefault="0007657F" w:rsidP="0007657F"/>
    <w:p w14:paraId="187123DD" w14:textId="77777777" w:rsidR="0007657F" w:rsidRDefault="0007657F" w:rsidP="0007657F">
      <w:pPr>
        <w:rPr>
          <w:rFonts w:ascii="Times New Roman" w:hAnsi="Times New Roman" w:cs="Times New Roman"/>
          <w:bCs/>
        </w:rPr>
      </w:pPr>
      <w:r>
        <w:rPr>
          <w:rFonts w:ascii="Times New Roman" w:hAnsi="Times New Roman" w:cs="Times New Roman"/>
          <w:bCs/>
        </w:rPr>
        <w:lastRenderedPageBreak/>
        <w:t>EVALUATION OF POTASSIUM SUPPLEMENTATION IN PEDIATRIC PATIENTS AT NYU LANGONE HEALTH SYSTEM</w:t>
      </w:r>
    </w:p>
    <w:p w14:paraId="4779907A" w14:textId="77777777" w:rsidR="0007657F" w:rsidRDefault="0007657F" w:rsidP="0007657F">
      <w:pPr>
        <w:rPr>
          <w:rFonts w:ascii="Times New Roman" w:hAnsi="Times New Roman" w:cs="Times New Roman"/>
          <w:u w:val="single"/>
        </w:rPr>
      </w:pPr>
      <w:r>
        <w:rPr>
          <w:rFonts w:ascii="Times New Roman" w:hAnsi="Times New Roman" w:cs="Times New Roman"/>
          <w:u w:val="single"/>
        </w:rPr>
        <w:t>Clouser A*, Saad A, Bashqoy F, Tracy J, Merchan C, Papadopoulos J</w:t>
      </w:r>
    </w:p>
    <w:p w14:paraId="1DA88532" w14:textId="77777777" w:rsidR="0007657F" w:rsidRDefault="0007657F" w:rsidP="0007657F">
      <w:pPr>
        <w:rPr>
          <w:rFonts w:ascii="Times New Roman" w:hAnsi="Times New Roman" w:cs="Times New Roman"/>
        </w:rPr>
      </w:pPr>
      <w:r>
        <w:rPr>
          <w:rFonts w:ascii="Times New Roman" w:hAnsi="Times New Roman" w:cs="Times New Roman"/>
        </w:rPr>
        <w:t>New York University Langone Health (NYULH), 550 First Avenue, New York, NY 10016</w:t>
      </w:r>
    </w:p>
    <w:p w14:paraId="650A7FB7" w14:textId="77777777" w:rsidR="0007657F" w:rsidRDefault="0007657F" w:rsidP="0007657F">
      <w:pPr>
        <w:rPr>
          <w:rFonts w:ascii="Times New Roman" w:hAnsi="Times New Roman" w:cs="Times New Roman"/>
        </w:rPr>
      </w:pPr>
      <w:r>
        <w:rPr>
          <w:rFonts w:ascii="Times New Roman" w:hAnsi="Times New Roman" w:cs="Times New Roman"/>
          <w:b/>
        </w:rPr>
        <w:t>Background</w:t>
      </w:r>
      <w:r>
        <w:rPr>
          <w:rFonts w:ascii="Times New Roman" w:hAnsi="Times New Roman" w:cs="Times New Roman"/>
        </w:rPr>
        <w:t>: There is a paucity of data on the direct correlation of pediatric parenteral potassium supplementation to change in serum potassium levels. Potassium handling is postulated to differ based on age due to differences in degree of kidney development and maturation of function. NYULH currently uses intravenous potassium supplementation doses of 0.5 mEq/kg to 1 mEq/kg depending on degree of hypokalemia. A paucity of data exists in the pediatric literature with regards to the effectiveness of intravenous potassium supplementation and whether co-existing medical problems or concomitant medications effect outcomes.</w:t>
      </w:r>
    </w:p>
    <w:p w14:paraId="5ED2844B" w14:textId="77777777" w:rsidR="0007657F" w:rsidRDefault="0007657F" w:rsidP="0007657F">
      <w:pPr>
        <w:rPr>
          <w:rFonts w:ascii="Times New Roman" w:hAnsi="Times New Roman" w:cs="Times New Roman"/>
        </w:rPr>
      </w:pPr>
      <w:r>
        <w:rPr>
          <w:rFonts w:ascii="Times New Roman" w:hAnsi="Times New Roman" w:cs="Times New Roman"/>
          <w:b/>
        </w:rPr>
        <w:t>Objective</w:t>
      </w:r>
      <w:r>
        <w:rPr>
          <w:rFonts w:ascii="Times New Roman" w:hAnsi="Times New Roman" w:cs="Times New Roman"/>
        </w:rPr>
        <w:t>: The primary outcome was to evaluate the effect of parenteral potassium supplementation on serum potassium levels in a non-cardiac pediatric population at NYULH. The secondary outcomes were to identify variables that may influence potassium supplementation and to assess the incidence of hyperkalemia with our hospital’s current supplementation practices.</w:t>
      </w:r>
    </w:p>
    <w:p w14:paraId="4D2A11E7" w14:textId="77777777" w:rsidR="0007657F" w:rsidRDefault="0007657F" w:rsidP="0007657F">
      <w:pPr>
        <w:rPr>
          <w:rFonts w:ascii="Times New Roman" w:hAnsi="Times New Roman" w:cs="Times New Roman"/>
        </w:rPr>
      </w:pPr>
      <w:r>
        <w:rPr>
          <w:rFonts w:ascii="Times New Roman" w:hAnsi="Times New Roman" w:cs="Times New Roman"/>
          <w:b/>
        </w:rPr>
        <w:t>Methods</w:t>
      </w:r>
      <w:r>
        <w:rPr>
          <w:rFonts w:ascii="Times New Roman" w:hAnsi="Times New Roman" w:cs="Times New Roman"/>
        </w:rPr>
        <w:t xml:space="preserve">: This was a retrospective, single-center, institutional review board-approved chart review of parenteral KCL supplementation. . </w:t>
      </w:r>
    </w:p>
    <w:p w14:paraId="61FDB0E5" w14:textId="77777777" w:rsidR="0007657F" w:rsidRDefault="0007657F" w:rsidP="0007657F">
      <w:pPr>
        <w:rPr>
          <w:rFonts w:ascii="Times New Roman" w:hAnsi="Times New Roman" w:cs="Times New Roman"/>
        </w:rPr>
      </w:pPr>
      <w:r>
        <w:rPr>
          <w:rFonts w:ascii="Times New Roman" w:hAnsi="Times New Roman" w:cs="Times New Roman"/>
          <w:b/>
        </w:rPr>
        <w:t>Results</w:t>
      </w:r>
      <w:r>
        <w:rPr>
          <w:rFonts w:ascii="Times New Roman" w:hAnsi="Times New Roman" w:cs="Times New Roman"/>
        </w:rPr>
        <w:t>: 160 administrations were included in the 1 mEq/kg group and 105 administrations in the 0.5 mEq/kg group. The average change in serum potassium was 0.6 mEq/L. There was a change in potassium of 0.8 mEq/L in the 1 mEq/kg group and the 0.5 mEq/L in the 0.5 mEq/kg group.</w:t>
      </w:r>
    </w:p>
    <w:p w14:paraId="5C782332" w14:textId="07EB257C" w:rsidR="0007657F" w:rsidRDefault="0007657F" w:rsidP="0007657F">
      <w:pPr>
        <w:rPr>
          <w:rFonts w:ascii="Times New Roman" w:hAnsi="Times New Roman" w:cs="Times New Roman"/>
        </w:rPr>
      </w:pPr>
      <w:r>
        <w:rPr>
          <w:rFonts w:ascii="Times New Roman" w:hAnsi="Times New Roman" w:cs="Times New Roman"/>
          <w:b/>
        </w:rPr>
        <w:t>Conclusions</w:t>
      </w:r>
      <w:r>
        <w:rPr>
          <w:rFonts w:ascii="Times New Roman" w:hAnsi="Times New Roman" w:cs="Times New Roman"/>
        </w:rPr>
        <w:t>: Potassium doses of 1 mEq/kg correlated to a median serum potassium increase of 0.8 mEq/L whereas doses of 0.5 mEq/kg correlated to a median serum potassium increase of 0.5 mEq/L.</w:t>
      </w:r>
    </w:p>
    <w:p w14:paraId="6309C43C" w14:textId="08BA28DD" w:rsidR="0007657F" w:rsidRDefault="0007657F" w:rsidP="0007657F">
      <w:pPr>
        <w:rPr>
          <w:rFonts w:ascii="Times New Roman" w:hAnsi="Times New Roman" w:cs="Times New Roman"/>
        </w:rPr>
      </w:pPr>
    </w:p>
    <w:p w14:paraId="68BE4B73" w14:textId="67615836" w:rsidR="0007657F" w:rsidRDefault="0007657F" w:rsidP="0007657F">
      <w:pPr>
        <w:rPr>
          <w:rFonts w:ascii="Times New Roman" w:hAnsi="Times New Roman" w:cs="Times New Roman"/>
        </w:rPr>
      </w:pPr>
    </w:p>
    <w:p w14:paraId="1C81FCDD" w14:textId="41CE7DAE" w:rsidR="0007657F" w:rsidRDefault="0007657F" w:rsidP="0007657F">
      <w:pPr>
        <w:rPr>
          <w:rFonts w:ascii="Times New Roman" w:hAnsi="Times New Roman" w:cs="Times New Roman"/>
        </w:rPr>
      </w:pPr>
    </w:p>
    <w:p w14:paraId="29B85C6C" w14:textId="20BE5767" w:rsidR="0007657F" w:rsidRDefault="0007657F" w:rsidP="0007657F">
      <w:pPr>
        <w:rPr>
          <w:rFonts w:ascii="Times New Roman" w:hAnsi="Times New Roman" w:cs="Times New Roman"/>
        </w:rPr>
      </w:pPr>
    </w:p>
    <w:p w14:paraId="412BDECA" w14:textId="4B0EB317" w:rsidR="0007657F" w:rsidRDefault="0007657F" w:rsidP="0007657F">
      <w:pPr>
        <w:rPr>
          <w:rFonts w:ascii="Times New Roman" w:hAnsi="Times New Roman" w:cs="Times New Roman"/>
        </w:rPr>
      </w:pPr>
    </w:p>
    <w:p w14:paraId="0DF94CAE" w14:textId="2FFF6217" w:rsidR="0007657F" w:rsidRDefault="0007657F" w:rsidP="0007657F">
      <w:pPr>
        <w:rPr>
          <w:rFonts w:ascii="Times New Roman" w:hAnsi="Times New Roman" w:cs="Times New Roman"/>
        </w:rPr>
      </w:pPr>
    </w:p>
    <w:p w14:paraId="7362CCA4" w14:textId="3051A9F0" w:rsidR="0007657F" w:rsidRDefault="0007657F" w:rsidP="0007657F">
      <w:pPr>
        <w:rPr>
          <w:rFonts w:ascii="Times New Roman" w:hAnsi="Times New Roman" w:cs="Times New Roman"/>
        </w:rPr>
      </w:pPr>
    </w:p>
    <w:p w14:paraId="47F1277E" w14:textId="0984D54F" w:rsidR="0007657F" w:rsidRDefault="0007657F" w:rsidP="0007657F">
      <w:pPr>
        <w:rPr>
          <w:rFonts w:ascii="Times New Roman" w:hAnsi="Times New Roman" w:cs="Times New Roman"/>
        </w:rPr>
      </w:pPr>
    </w:p>
    <w:p w14:paraId="47F7E495" w14:textId="0C08FA67" w:rsidR="0007657F" w:rsidRDefault="0007657F" w:rsidP="0007657F">
      <w:pPr>
        <w:rPr>
          <w:rFonts w:ascii="Times New Roman" w:hAnsi="Times New Roman" w:cs="Times New Roman"/>
        </w:rPr>
      </w:pPr>
    </w:p>
    <w:p w14:paraId="4F7B05D4" w14:textId="3D9B69A3" w:rsidR="0007657F" w:rsidRDefault="0007657F" w:rsidP="0007657F">
      <w:pPr>
        <w:rPr>
          <w:rFonts w:ascii="Times New Roman" w:hAnsi="Times New Roman" w:cs="Times New Roman"/>
        </w:rPr>
      </w:pPr>
    </w:p>
    <w:p w14:paraId="0E3060F8" w14:textId="7104B9E5" w:rsidR="0007657F" w:rsidRDefault="0007657F" w:rsidP="0007657F">
      <w:pPr>
        <w:rPr>
          <w:rFonts w:ascii="Times New Roman" w:hAnsi="Times New Roman" w:cs="Times New Roman"/>
        </w:rPr>
      </w:pPr>
    </w:p>
    <w:p w14:paraId="5D5C820C" w14:textId="40F5E9F0" w:rsidR="0007657F" w:rsidRDefault="0007657F" w:rsidP="0007657F">
      <w:pPr>
        <w:rPr>
          <w:rFonts w:ascii="Times New Roman" w:hAnsi="Times New Roman" w:cs="Times New Roman"/>
        </w:rPr>
      </w:pPr>
    </w:p>
    <w:p w14:paraId="70C11E97" w14:textId="3BBF7E38" w:rsidR="0007657F" w:rsidRDefault="0007657F" w:rsidP="0007657F">
      <w:pPr>
        <w:rPr>
          <w:rFonts w:ascii="Times New Roman" w:hAnsi="Times New Roman" w:cs="Times New Roman"/>
        </w:rPr>
      </w:pPr>
    </w:p>
    <w:p w14:paraId="29E28619" w14:textId="77777777" w:rsidR="0007657F" w:rsidRDefault="0007657F" w:rsidP="0007657F">
      <w:pPr>
        <w:rPr>
          <w:rFonts w:ascii="Times New Roman" w:hAnsi="Times New Roman" w:cs="Times New Roman"/>
          <w:sz w:val="24"/>
          <w:szCs w:val="24"/>
        </w:rPr>
      </w:pPr>
      <w:r>
        <w:rPr>
          <w:rFonts w:ascii="Times New Roman" w:hAnsi="Times New Roman" w:cs="Times New Roman"/>
          <w:sz w:val="24"/>
          <w:szCs w:val="24"/>
        </w:rPr>
        <w:lastRenderedPageBreak/>
        <w:t>EFFICACY AND SAFETY OF HEPATITIS C VIRUS DIRECT ACTING ANTIVIRALS IN PATIENTS WITH ONCOLOGIC MORBIDITIES ON IMMUNOSUPPRESSIVE THERAPY</w:t>
      </w:r>
    </w:p>
    <w:p w14:paraId="723F31F0" w14:textId="77777777" w:rsidR="0007657F" w:rsidRDefault="0007657F" w:rsidP="0007657F">
      <w:pPr>
        <w:rPr>
          <w:rFonts w:ascii="Times New Roman" w:hAnsi="Times New Roman" w:cs="Times New Roman"/>
          <w:sz w:val="24"/>
          <w:szCs w:val="24"/>
        </w:rPr>
      </w:pPr>
      <w:r>
        <w:rPr>
          <w:rFonts w:ascii="Times New Roman" w:hAnsi="Times New Roman" w:cs="Times New Roman"/>
          <w:sz w:val="24"/>
          <w:szCs w:val="24"/>
          <w:u w:val="single"/>
        </w:rPr>
        <w:t>Codispodo G</w:t>
      </w:r>
      <w:r>
        <w:rPr>
          <w:rFonts w:ascii="Times New Roman" w:hAnsi="Times New Roman" w:cs="Times New Roman"/>
          <w:sz w:val="24"/>
          <w:szCs w:val="24"/>
        </w:rPr>
        <w:t xml:space="preserve">*, </w:t>
      </w:r>
      <w:r>
        <w:rPr>
          <w:rFonts w:ascii="Times New Roman" w:hAnsi="Times New Roman" w:cs="Times New Roman"/>
          <w:sz w:val="24"/>
          <w:szCs w:val="24"/>
          <w:u w:val="single"/>
        </w:rPr>
        <w:t>Lee S</w:t>
      </w:r>
      <w:r>
        <w:rPr>
          <w:rFonts w:ascii="Times New Roman" w:hAnsi="Times New Roman" w:cs="Times New Roman"/>
          <w:sz w:val="24"/>
          <w:szCs w:val="24"/>
        </w:rPr>
        <w:t xml:space="preserve">, </w:t>
      </w:r>
      <w:r>
        <w:rPr>
          <w:rFonts w:ascii="Times New Roman" w:hAnsi="Times New Roman" w:cs="Times New Roman"/>
          <w:sz w:val="24"/>
          <w:szCs w:val="24"/>
          <w:u w:val="single"/>
        </w:rPr>
        <w:t>Lee T</w:t>
      </w:r>
    </w:p>
    <w:p w14:paraId="7D6BC19D" w14:textId="77777777" w:rsidR="0007657F" w:rsidRDefault="0007657F" w:rsidP="0007657F">
      <w:pPr>
        <w:rPr>
          <w:rFonts w:ascii="Times New Roman" w:hAnsi="Times New Roman" w:cs="Times New Roman"/>
          <w:sz w:val="24"/>
          <w:szCs w:val="24"/>
        </w:rPr>
      </w:pPr>
      <w:r>
        <w:rPr>
          <w:rFonts w:ascii="Times New Roman" w:hAnsi="Times New Roman" w:cs="Times New Roman"/>
          <w:sz w:val="24"/>
          <w:szCs w:val="24"/>
        </w:rPr>
        <w:t>North Shore University Hospital, 300 Community Drive, Manhasset, NY 11030</w:t>
      </w:r>
    </w:p>
    <w:p w14:paraId="29EFA6F0" w14:textId="77777777" w:rsidR="0007657F" w:rsidRDefault="0007657F" w:rsidP="0007657F">
      <w:pPr>
        <w:rPr>
          <w:rFonts w:ascii="Times New Roman" w:hAnsi="Times New Roman" w:cs="Times New Roman"/>
          <w:sz w:val="24"/>
          <w:szCs w:val="24"/>
        </w:rPr>
      </w:pPr>
    </w:p>
    <w:p w14:paraId="69E40540" w14:textId="77777777" w:rsidR="0007657F" w:rsidRDefault="0007657F" w:rsidP="0007657F">
      <w:pPr>
        <w:rPr>
          <w:rFonts w:ascii="Times New Roman" w:hAnsi="Times New Roman" w:cs="Times New Roman"/>
          <w:sz w:val="24"/>
          <w:szCs w:val="24"/>
        </w:rPr>
      </w:pPr>
      <w:r>
        <w:rPr>
          <w:rFonts w:ascii="Times New Roman" w:hAnsi="Times New Roman" w:cs="Times New Roman"/>
          <w:b/>
          <w:bCs/>
          <w:sz w:val="24"/>
          <w:szCs w:val="24"/>
        </w:rPr>
        <w:t>Background</w:t>
      </w:r>
      <w:r>
        <w:rPr>
          <w:rFonts w:ascii="Times New Roman" w:hAnsi="Times New Roman" w:cs="Times New Roman"/>
          <w:sz w:val="24"/>
          <w:szCs w:val="24"/>
        </w:rPr>
        <w:t>:</w:t>
      </w:r>
      <w:r>
        <w:t xml:space="preserve"> </w:t>
      </w:r>
      <w:r>
        <w:rPr>
          <w:rFonts w:ascii="Times New Roman" w:hAnsi="Times New Roman" w:cs="Times New Roman"/>
          <w:sz w:val="24"/>
          <w:szCs w:val="24"/>
        </w:rPr>
        <w:t>Third-generation direct acting antivirals (DAAs) developed in 2014 for the treatment of chronic hepatitis C virus (HCV) are known to be generally well tolerated. After 8-12 weeks of treatment, 95% of patients are cured with sustained virologic response (SVR). Although current HCV guidelines provide recommendations for special populations like human immunodeficiency virus (HIV) and organ transplant patients, the guidelines do not specify treatment for patients who are being concurrently treated with chemotherapy. While believed to be effective, there is limited data evaluating the use of concomitant immunosuppressive chemotherapy and HCV DAAs on achieving SVR, safety and tolerability.</w:t>
      </w:r>
    </w:p>
    <w:p w14:paraId="6BAA4DB3" w14:textId="77777777" w:rsidR="0007657F" w:rsidRDefault="0007657F" w:rsidP="0007657F">
      <w:pPr>
        <w:rPr>
          <w:rFonts w:ascii="Times New Roman" w:hAnsi="Times New Roman" w:cs="Times New Roman"/>
          <w:sz w:val="24"/>
          <w:szCs w:val="24"/>
        </w:rPr>
      </w:pPr>
      <w:r>
        <w:rPr>
          <w:rFonts w:ascii="Times New Roman" w:hAnsi="Times New Roman" w:cs="Times New Roman"/>
          <w:b/>
          <w:bCs/>
          <w:sz w:val="24"/>
          <w:szCs w:val="24"/>
        </w:rPr>
        <w:t>Objective</w:t>
      </w:r>
      <w:r>
        <w:rPr>
          <w:rFonts w:ascii="Times New Roman" w:hAnsi="Times New Roman" w:cs="Times New Roman"/>
          <w:sz w:val="24"/>
          <w:szCs w:val="24"/>
        </w:rPr>
        <w:t>:</w:t>
      </w:r>
      <w:r>
        <w:t xml:space="preserve"> </w:t>
      </w:r>
      <w:r>
        <w:rPr>
          <w:rFonts w:ascii="Times New Roman" w:hAnsi="Times New Roman" w:cs="Times New Roman"/>
          <w:sz w:val="24"/>
          <w:szCs w:val="24"/>
        </w:rPr>
        <w:t xml:space="preserve">The primary outcome is attainment of SVR. Secondary outcomes include mortality, presence of drug-drug interactions, adverse reactions reported, discontinuation of therapy, and differences in SVR between solid and liquid cancers.  </w:t>
      </w:r>
    </w:p>
    <w:p w14:paraId="7F73C9FA" w14:textId="77777777" w:rsidR="0007657F" w:rsidRDefault="0007657F" w:rsidP="0007657F">
      <w:pPr>
        <w:rPr>
          <w:rFonts w:ascii="Times New Roman" w:hAnsi="Times New Roman" w:cs="Times New Roman"/>
          <w:sz w:val="24"/>
          <w:szCs w:val="24"/>
        </w:rPr>
      </w:pPr>
      <w:r>
        <w:rPr>
          <w:rFonts w:ascii="Times New Roman" w:hAnsi="Times New Roman" w:cs="Times New Roman"/>
          <w:b/>
          <w:bCs/>
          <w:sz w:val="24"/>
          <w:szCs w:val="24"/>
        </w:rPr>
        <w:t>Methods</w:t>
      </w:r>
      <w:r>
        <w:rPr>
          <w:rFonts w:ascii="Times New Roman" w:hAnsi="Times New Roman" w:cs="Times New Roman"/>
          <w:sz w:val="24"/>
          <w:szCs w:val="24"/>
        </w:rPr>
        <w:t xml:space="preserve">: This is an institutional review board approved, retrospective, single-center, chart review from October 1, 2014 through August 31, 2020. Patients with chronic HCV and cancer being treated with chemotherapy will be compared against patients who have chronic HCV without cancer. Patients were included if they were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18 years old, had a diagnosis of chronic HCV and received a DAA for treatment. Patient will be excluded if they are pregnant, taking immunosuppressive agents for any indication other than cancer or if there is missing data to confirm SVR.</w:t>
      </w:r>
    </w:p>
    <w:p w14:paraId="18188910" w14:textId="77777777" w:rsidR="0007657F" w:rsidRDefault="0007657F" w:rsidP="0007657F">
      <w:pPr>
        <w:rPr>
          <w:rFonts w:ascii="Times New Roman" w:hAnsi="Times New Roman" w:cs="Times New Roman"/>
          <w:sz w:val="24"/>
          <w:szCs w:val="24"/>
        </w:rPr>
      </w:pPr>
      <w:r>
        <w:rPr>
          <w:rFonts w:ascii="Times New Roman" w:hAnsi="Times New Roman" w:cs="Times New Roman"/>
          <w:b/>
          <w:bCs/>
          <w:sz w:val="24"/>
          <w:szCs w:val="24"/>
        </w:rPr>
        <w:t>Results</w:t>
      </w:r>
      <w:r>
        <w:rPr>
          <w:rFonts w:ascii="Times New Roman" w:hAnsi="Times New Roman" w:cs="Times New Roman"/>
          <w:sz w:val="24"/>
          <w:szCs w:val="24"/>
        </w:rPr>
        <w:t>: In progress</w:t>
      </w:r>
    </w:p>
    <w:p w14:paraId="004EED6E" w14:textId="045A8F0D" w:rsidR="0007657F" w:rsidRDefault="0007657F" w:rsidP="0007657F">
      <w:pPr>
        <w:rPr>
          <w:rFonts w:ascii="Times New Roman" w:hAnsi="Times New Roman" w:cs="Times New Roman"/>
          <w:sz w:val="24"/>
          <w:szCs w:val="24"/>
        </w:rPr>
      </w:pPr>
      <w:r>
        <w:rPr>
          <w:rFonts w:ascii="Times New Roman" w:hAnsi="Times New Roman" w:cs="Times New Roman"/>
          <w:b/>
          <w:bCs/>
          <w:sz w:val="24"/>
          <w:szCs w:val="24"/>
        </w:rPr>
        <w:t>Conclusions</w:t>
      </w:r>
      <w:r>
        <w:rPr>
          <w:rFonts w:ascii="Times New Roman" w:hAnsi="Times New Roman" w:cs="Times New Roman"/>
          <w:sz w:val="24"/>
          <w:szCs w:val="24"/>
        </w:rPr>
        <w:t>: In progress</w:t>
      </w:r>
    </w:p>
    <w:p w14:paraId="212E93BB" w14:textId="12E634A5" w:rsidR="0007657F" w:rsidRDefault="0007657F" w:rsidP="0007657F">
      <w:pPr>
        <w:rPr>
          <w:rFonts w:ascii="Times New Roman" w:hAnsi="Times New Roman" w:cs="Times New Roman"/>
          <w:sz w:val="24"/>
          <w:szCs w:val="24"/>
        </w:rPr>
      </w:pPr>
    </w:p>
    <w:p w14:paraId="247E4AE7" w14:textId="1C0C32CC" w:rsidR="0007657F" w:rsidRDefault="0007657F" w:rsidP="0007657F">
      <w:pPr>
        <w:rPr>
          <w:rFonts w:ascii="Times New Roman" w:hAnsi="Times New Roman" w:cs="Times New Roman"/>
          <w:sz w:val="24"/>
          <w:szCs w:val="24"/>
        </w:rPr>
      </w:pPr>
    </w:p>
    <w:p w14:paraId="1B057C67" w14:textId="3C82290D" w:rsidR="0007657F" w:rsidRDefault="0007657F" w:rsidP="0007657F">
      <w:pPr>
        <w:rPr>
          <w:rFonts w:ascii="Times New Roman" w:hAnsi="Times New Roman" w:cs="Times New Roman"/>
          <w:sz w:val="24"/>
          <w:szCs w:val="24"/>
        </w:rPr>
      </w:pPr>
    </w:p>
    <w:p w14:paraId="686DA2F3" w14:textId="51112C34" w:rsidR="0007657F" w:rsidRDefault="0007657F" w:rsidP="0007657F">
      <w:pPr>
        <w:rPr>
          <w:rFonts w:ascii="Times New Roman" w:hAnsi="Times New Roman" w:cs="Times New Roman"/>
          <w:sz w:val="24"/>
          <w:szCs w:val="24"/>
        </w:rPr>
      </w:pPr>
    </w:p>
    <w:p w14:paraId="1AD99E42" w14:textId="29991BE0" w:rsidR="0007657F" w:rsidRDefault="0007657F" w:rsidP="0007657F">
      <w:pPr>
        <w:rPr>
          <w:rFonts w:ascii="Times New Roman" w:hAnsi="Times New Roman" w:cs="Times New Roman"/>
          <w:sz w:val="24"/>
          <w:szCs w:val="24"/>
        </w:rPr>
      </w:pPr>
    </w:p>
    <w:p w14:paraId="71CF284E" w14:textId="334A2090" w:rsidR="0007657F" w:rsidRDefault="0007657F" w:rsidP="0007657F">
      <w:pPr>
        <w:rPr>
          <w:rFonts w:ascii="Times New Roman" w:hAnsi="Times New Roman" w:cs="Times New Roman"/>
          <w:sz w:val="24"/>
          <w:szCs w:val="24"/>
        </w:rPr>
      </w:pPr>
    </w:p>
    <w:p w14:paraId="3DD00144" w14:textId="6FCD5615" w:rsidR="0007657F" w:rsidRDefault="0007657F" w:rsidP="0007657F">
      <w:pPr>
        <w:rPr>
          <w:rFonts w:ascii="Times New Roman" w:hAnsi="Times New Roman" w:cs="Times New Roman"/>
          <w:sz w:val="24"/>
          <w:szCs w:val="24"/>
        </w:rPr>
      </w:pPr>
    </w:p>
    <w:p w14:paraId="336C4F4D" w14:textId="5D2B178F" w:rsidR="0007657F" w:rsidRDefault="0007657F" w:rsidP="0007657F">
      <w:pPr>
        <w:rPr>
          <w:rFonts w:ascii="Times New Roman" w:hAnsi="Times New Roman" w:cs="Times New Roman"/>
          <w:sz w:val="24"/>
          <w:szCs w:val="24"/>
        </w:rPr>
      </w:pPr>
    </w:p>
    <w:p w14:paraId="5933B9F1" w14:textId="30712918" w:rsidR="0007657F" w:rsidRDefault="0007657F" w:rsidP="0007657F">
      <w:pPr>
        <w:rPr>
          <w:rFonts w:ascii="Times New Roman" w:hAnsi="Times New Roman" w:cs="Times New Roman"/>
          <w:sz w:val="24"/>
          <w:szCs w:val="24"/>
        </w:rPr>
      </w:pPr>
    </w:p>
    <w:p w14:paraId="36A013B4" w14:textId="77777777" w:rsidR="0007657F" w:rsidRDefault="0007657F" w:rsidP="0007657F">
      <w:pPr>
        <w:rPr>
          <w:rFonts w:ascii="Times New Roman" w:hAnsi="Times New Roman" w:cs="Times New Roman"/>
          <w:sz w:val="24"/>
        </w:rPr>
      </w:pPr>
      <w:r>
        <w:rPr>
          <w:rFonts w:ascii="Times New Roman" w:hAnsi="Times New Roman" w:cs="Times New Roman"/>
          <w:sz w:val="24"/>
        </w:rPr>
        <w:lastRenderedPageBreak/>
        <w:t>COMPLIANCE WITH A HEALTH-SYSTEM BASED ANTICOAGULATION REVERSAL PROTOCOL</w:t>
      </w:r>
    </w:p>
    <w:p w14:paraId="3620A1CE" w14:textId="77777777" w:rsidR="0007657F" w:rsidRDefault="0007657F" w:rsidP="0007657F">
      <w:pPr>
        <w:rPr>
          <w:rFonts w:ascii="Times New Roman" w:hAnsi="Times New Roman" w:cs="Times New Roman"/>
          <w:sz w:val="24"/>
        </w:rPr>
      </w:pPr>
      <w:r>
        <w:rPr>
          <w:rFonts w:ascii="Times New Roman" w:hAnsi="Times New Roman" w:cs="Times New Roman"/>
          <w:sz w:val="24"/>
          <w:u w:val="single"/>
        </w:rPr>
        <w:t>Courtney A*</w:t>
      </w:r>
      <w:r>
        <w:rPr>
          <w:rFonts w:ascii="Times New Roman" w:hAnsi="Times New Roman" w:cs="Times New Roman"/>
          <w:sz w:val="24"/>
        </w:rPr>
        <w:t xml:space="preserve">, </w:t>
      </w:r>
      <w:r>
        <w:rPr>
          <w:rFonts w:ascii="Times New Roman" w:hAnsi="Times New Roman" w:cs="Times New Roman"/>
          <w:sz w:val="24"/>
          <w:u w:val="single"/>
        </w:rPr>
        <w:t>Guarino M</w:t>
      </w:r>
      <w:r>
        <w:rPr>
          <w:rFonts w:ascii="Times New Roman" w:hAnsi="Times New Roman" w:cs="Times New Roman"/>
          <w:sz w:val="24"/>
        </w:rPr>
        <w:t xml:space="preserve">, </w:t>
      </w:r>
      <w:r>
        <w:rPr>
          <w:rFonts w:ascii="Times New Roman" w:hAnsi="Times New Roman" w:cs="Times New Roman"/>
          <w:sz w:val="24"/>
          <w:u w:val="single"/>
        </w:rPr>
        <w:t>Geisler R</w:t>
      </w:r>
      <w:r>
        <w:rPr>
          <w:rFonts w:ascii="Times New Roman" w:hAnsi="Times New Roman" w:cs="Times New Roman"/>
          <w:sz w:val="24"/>
        </w:rPr>
        <w:t xml:space="preserve">, </w:t>
      </w:r>
      <w:r>
        <w:rPr>
          <w:rFonts w:ascii="Times New Roman" w:hAnsi="Times New Roman" w:cs="Times New Roman"/>
          <w:sz w:val="24"/>
          <w:u w:val="single"/>
        </w:rPr>
        <w:t>Vink T</w:t>
      </w:r>
    </w:p>
    <w:p w14:paraId="1CEC2545" w14:textId="77777777" w:rsidR="0007657F" w:rsidRDefault="0007657F" w:rsidP="0007657F">
      <w:pPr>
        <w:rPr>
          <w:rFonts w:ascii="Times New Roman" w:hAnsi="Times New Roman" w:cs="Times New Roman"/>
          <w:sz w:val="24"/>
        </w:rPr>
      </w:pPr>
      <w:r>
        <w:rPr>
          <w:rFonts w:ascii="Times New Roman" w:hAnsi="Times New Roman" w:cs="Times New Roman"/>
          <w:sz w:val="24"/>
        </w:rPr>
        <w:t>Mercy Hospital of Buffalo, 565 Abbott Road, Buffalo, NY 14220</w:t>
      </w:r>
    </w:p>
    <w:p w14:paraId="2A5E7BD8" w14:textId="77777777" w:rsidR="0007657F" w:rsidRDefault="0007657F" w:rsidP="0007657F">
      <w:pPr>
        <w:rPr>
          <w:rFonts w:ascii="Times New Roman" w:hAnsi="Times New Roman" w:cs="Times New Roman"/>
          <w:sz w:val="24"/>
        </w:rPr>
      </w:pPr>
      <w:r>
        <w:rPr>
          <w:rFonts w:ascii="Times New Roman" w:hAnsi="Times New Roman" w:cs="Times New Roman"/>
          <w:b/>
          <w:sz w:val="24"/>
        </w:rPr>
        <w:t>Background</w:t>
      </w:r>
      <w:r>
        <w:rPr>
          <w:rFonts w:ascii="Times New Roman" w:hAnsi="Times New Roman" w:cs="Times New Roman"/>
          <w:sz w:val="24"/>
        </w:rPr>
        <w:t xml:space="preserve">: Major bleeding due to the use of anticoagulants can lead to increased patient morbidity and mortality. A variety of anticoagulation reversal options for direct oral anticoagulants and warfarin are available. However, these agents are high in cost and come with their own risks, such as thrombosis. The Catholic Health System implemented an anticoagulation reversal protocol in November 2019 to ensure the proper use of prothrombin complex concentrate (PCC), idarucizumab, and coagulation factor Xa. </w:t>
      </w:r>
    </w:p>
    <w:p w14:paraId="05C1D4A8" w14:textId="77777777" w:rsidR="0007657F" w:rsidRDefault="0007657F" w:rsidP="0007657F">
      <w:pPr>
        <w:rPr>
          <w:rFonts w:ascii="Times New Roman" w:hAnsi="Times New Roman" w:cs="Times New Roman"/>
          <w:sz w:val="24"/>
        </w:rPr>
      </w:pPr>
      <w:r>
        <w:rPr>
          <w:rFonts w:ascii="Times New Roman" w:hAnsi="Times New Roman" w:cs="Times New Roman"/>
          <w:b/>
          <w:sz w:val="24"/>
        </w:rPr>
        <w:t>Objective</w:t>
      </w:r>
      <w:r>
        <w:rPr>
          <w:rFonts w:ascii="Times New Roman" w:hAnsi="Times New Roman" w:cs="Times New Roman"/>
          <w:sz w:val="24"/>
        </w:rPr>
        <w:t>: The primary objective was to evaluate compliance with the institution’s anticoagulation reversal protocol and to evaluate reversal use in the health-system. The secondary objective was to evaluate the pharmacist’s role in facilitating appropriate anticoagulant reversal use. Patients were excluded if they were not taking an anticoagulant or if they did not receive a reversal agent.</w:t>
      </w:r>
    </w:p>
    <w:p w14:paraId="7807D392" w14:textId="77777777" w:rsidR="0007657F" w:rsidRDefault="0007657F" w:rsidP="0007657F">
      <w:pPr>
        <w:rPr>
          <w:rFonts w:ascii="Times New Roman" w:hAnsi="Times New Roman" w:cs="Times New Roman"/>
          <w:sz w:val="24"/>
        </w:rPr>
      </w:pPr>
      <w:r>
        <w:rPr>
          <w:rFonts w:ascii="Times New Roman" w:hAnsi="Times New Roman" w:cs="Times New Roman"/>
          <w:b/>
          <w:sz w:val="24"/>
        </w:rPr>
        <w:t>Methods</w:t>
      </w:r>
      <w:r>
        <w:rPr>
          <w:rFonts w:ascii="Times New Roman" w:hAnsi="Times New Roman" w:cs="Times New Roman"/>
          <w:sz w:val="24"/>
        </w:rPr>
        <w:t>: This was a retrospective, multicenter, medication use evaluation. Data collected included anticoagulant name, dose, frequency, indication, time since last dose, and reversal agent name and dose. Patients were evaluated for presence of major bleeding, administration of fresh frozen plasma (FFP), and pharmacist interventions.</w:t>
      </w:r>
    </w:p>
    <w:p w14:paraId="5F4C7E20" w14:textId="77777777" w:rsidR="0007657F" w:rsidRDefault="0007657F" w:rsidP="0007657F">
      <w:pPr>
        <w:rPr>
          <w:rFonts w:ascii="Times New Roman" w:hAnsi="Times New Roman" w:cs="Times New Roman"/>
          <w:sz w:val="24"/>
        </w:rPr>
      </w:pPr>
      <w:r>
        <w:rPr>
          <w:rFonts w:ascii="Times New Roman" w:hAnsi="Times New Roman" w:cs="Times New Roman"/>
          <w:b/>
          <w:sz w:val="24"/>
        </w:rPr>
        <w:t>Results</w:t>
      </w:r>
      <w:r>
        <w:rPr>
          <w:rFonts w:ascii="Times New Roman" w:hAnsi="Times New Roman" w:cs="Times New Roman"/>
          <w:sz w:val="24"/>
        </w:rPr>
        <w:t>: There were 33 patients included. Nine (27.3%) reversal orders were non-compliant with the protocol. Two patients without major bleeding received reversal and eight received both FFP and PCC. Pharmacist interventions were entered on 17 (51.5%) reversal orders. Eight of the non-compliant orders did not have pharmacist interventions documented.</w:t>
      </w:r>
    </w:p>
    <w:p w14:paraId="148F75A8" w14:textId="77777777" w:rsidR="0007657F" w:rsidRDefault="0007657F" w:rsidP="0007657F">
      <w:pPr>
        <w:rPr>
          <w:rFonts w:ascii="Times New Roman" w:hAnsi="Times New Roman" w:cs="Times New Roman"/>
          <w:sz w:val="24"/>
        </w:rPr>
      </w:pPr>
      <w:r>
        <w:rPr>
          <w:rFonts w:ascii="Times New Roman" w:hAnsi="Times New Roman" w:cs="Times New Roman"/>
          <w:b/>
          <w:sz w:val="24"/>
        </w:rPr>
        <w:t>Conclusions</w:t>
      </w:r>
      <w:r>
        <w:rPr>
          <w:rFonts w:ascii="Times New Roman" w:hAnsi="Times New Roman" w:cs="Times New Roman"/>
          <w:sz w:val="24"/>
        </w:rPr>
        <w:t>:</w:t>
      </w:r>
      <w:r>
        <w:rPr>
          <w:rFonts w:ascii="Times New Roman" w:hAnsi="Times New Roman" w:cs="Times New Roman"/>
          <w:b/>
          <w:sz w:val="24"/>
        </w:rPr>
        <w:t xml:space="preserve"> </w:t>
      </w:r>
      <w:r>
        <w:rPr>
          <w:rFonts w:ascii="Times New Roman" w:hAnsi="Times New Roman" w:cs="Times New Roman"/>
          <w:sz w:val="24"/>
        </w:rPr>
        <w:t>Out of the nine non-compliant reversal orders, eight of these did not have any pharmacist involvement documented.</w:t>
      </w:r>
      <w:r>
        <w:rPr>
          <w:rFonts w:ascii="Times New Roman" w:hAnsi="Times New Roman" w:cs="Times New Roman"/>
          <w:b/>
          <w:sz w:val="24"/>
        </w:rPr>
        <w:t xml:space="preserve"> </w:t>
      </w:r>
      <w:r>
        <w:rPr>
          <w:rFonts w:ascii="Times New Roman" w:hAnsi="Times New Roman" w:cs="Times New Roman"/>
          <w:sz w:val="24"/>
        </w:rPr>
        <w:t>This demonstrated pharmacist involvement in appropriate anticoagulation reversal.</w:t>
      </w:r>
    </w:p>
    <w:p w14:paraId="00424FB2" w14:textId="5EA17450" w:rsidR="0007657F" w:rsidRDefault="0007657F" w:rsidP="0007657F">
      <w:pPr>
        <w:rPr>
          <w:rFonts w:ascii="Times New Roman" w:hAnsi="Times New Roman" w:cs="Times New Roman"/>
          <w:sz w:val="24"/>
          <w:szCs w:val="24"/>
        </w:rPr>
      </w:pPr>
    </w:p>
    <w:p w14:paraId="72F8096F" w14:textId="308EE880" w:rsidR="0007657F" w:rsidRDefault="0007657F" w:rsidP="0007657F">
      <w:pPr>
        <w:rPr>
          <w:rFonts w:ascii="Times New Roman" w:hAnsi="Times New Roman" w:cs="Times New Roman"/>
          <w:sz w:val="24"/>
          <w:szCs w:val="24"/>
        </w:rPr>
      </w:pPr>
    </w:p>
    <w:p w14:paraId="757A5608" w14:textId="71436172" w:rsidR="0007657F" w:rsidRDefault="0007657F" w:rsidP="0007657F">
      <w:pPr>
        <w:rPr>
          <w:rFonts w:ascii="Times New Roman" w:hAnsi="Times New Roman" w:cs="Times New Roman"/>
          <w:sz w:val="24"/>
          <w:szCs w:val="24"/>
        </w:rPr>
      </w:pPr>
    </w:p>
    <w:p w14:paraId="40FE4C06" w14:textId="76B75486" w:rsidR="0007657F" w:rsidRDefault="0007657F" w:rsidP="0007657F">
      <w:pPr>
        <w:rPr>
          <w:rFonts w:ascii="Times New Roman" w:hAnsi="Times New Roman" w:cs="Times New Roman"/>
          <w:sz w:val="24"/>
          <w:szCs w:val="24"/>
        </w:rPr>
      </w:pPr>
    </w:p>
    <w:p w14:paraId="72328A6B" w14:textId="17F520E3" w:rsidR="0007657F" w:rsidRDefault="0007657F" w:rsidP="0007657F">
      <w:pPr>
        <w:rPr>
          <w:rFonts w:ascii="Times New Roman" w:hAnsi="Times New Roman" w:cs="Times New Roman"/>
          <w:sz w:val="24"/>
          <w:szCs w:val="24"/>
        </w:rPr>
      </w:pPr>
    </w:p>
    <w:p w14:paraId="31FB5B3D" w14:textId="12E80489" w:rsidR="0007657F" w:rsidRDefault="0007657F" w:rsidP="0007657F">
      <w:pPr>
        <w:rPr>
          <w:rFonts w:ascii="Times New Roman" w:hAnsi="Times New Roman" w:cs="Times New Roman"/>
          <w:sz w:val="24"/>
          <w:szCs w:val="24"/>
        </w:rPr>
      </w:pPr>
    </w:p>
    <w:p w14:paraId="6A02B949" w14:textId="058B043C" w:rsidR="0007657F" w:rsidRDefault="0007657F" w:rsidP="0007657F">
      <w:pPr>
        <w:rPr>
          <w:rFonts w:ascii="Times New Roman" w:hAnsi="Times New Roman" w:cs="Times New Roman"/>
          <w:sz w:val="24"/>
          <w:szCs w:val="24"/>
        </w:rPr>
      </w:pPr>
    </w:p>
    <w:p w14:paraId="412E15B0" w14:textId="2002DB01" w:rsidR="0007657F" w:rsidRDefault="0007657F" w:rsidP="0007657F">
      <w:pPr>
        <w:rPr>
          <w:rFonts w:ascii="Times New Roman" w:hAnsi="Times New Roman" w:cs="Times New Roman"/>
          <w:sz w:val="24"/>
          <w:szCs w:val="24"/>
        </w:rPr>
      </w:pPr>
    </w:p>
    <w:p w14:paraId="28987594" w14:textId="7BE37BCA" w:rsidR="0007657F" w:rsidRDefault="0007657F" w:rsidP="0007657F">
      <w:pPr>
        <w:rPr>
          <w:rFonts w:ascii="Times New Roman" w:hAnsi="Times New Roman" w:cs="Times New Roman"/>
          <w:sz w:val="24"/>
          <w:szCs w:val="24"/>
        </w:rPr>
      </w:pPr>
    </w:p>
    <w:p w14:paraId="0F609A74" w14:textId="77777777" w:rsidR="0007657F" w:rsidRPr="0007657F" w:rsidRDefault="0007657F" w:rsidP="0007657F">
      <w:pPr>
        <w:rPr>
          <w:rFonts w:ascii="Times New Roman" w:hAnsi="Times New Roman" w:cs="Times New Roman"/>
        </w:rPr>
      </w:pPr>
      <w:r w:rsidRPr="0007657F">
        <w:rPr>
          <w:rFonts w:ascii="Times New Roman" w:hAnsi="Times New Roman" w:cs="Times New Roman"/>
        </w:rPr>
        <w:lastRenderedPageBreak/>
        <w:t>EFFICACY AND SAFETY OF ACETAZOLAMIDE IN TREATING HYPOCHLOREMIC METABOLIC ALKALOSIS FROM DIURETIC USE IN PEDIATRIC PATIENTS</w:t>
      </w:r>
    </w:p>
    <w:p w14:paraId="08121F86" w14:textId="77777777" w:rsidR="0007657F" w:rsidRPr="0007657F" w:rsidRDefault="0007657F" w:rsidP="0007657F">
      <w:pPr>
        <w:rPr>
          <w:rFonts w:ascii="Times New Roman" w:hAnsi="Times New Roman" w:cs="Times New Roman"/>
          <w:u w:val="single"/>
        </w:rPr>
      </w:pPr>
      <w:r w:rsidRPr="0007657F">
        <w:rPr>
          <w:rFonts w:ascii="Times New Roman" w:hAnsi="Times New Roman" w:cs="Times New Roman"/>
          <w:u w:val="single"/>
        </w:rPr>
        <w:t>Daiya K*, El-Chaar G, Canter M</w:t>
      </w:r>
    </w:p>
    <w:p w14:paraId="3A5000D1" w14:textId="77777777" w:rsidR="0007657F" w:rsidRPr="0007657F" w:rsidRDefault="0007657F" w:rsidP="0007657F">
      <w:pPr>
        <w:rPr>
          <w:rFonts w:ascii="Times New Roman" w:hAnsi="Times New Roman" w:cs="Times New Roman"/>
        </w:rPr>
      </w:pPr>
      <w:r w:rsidRPr="0007657F">
        <w:rPr>
          <w:rFonts w:ascii="Times New Roman" w:hAnsi="Times New Roman" w:cs="Times New Roman"/>
        </w:rPr>
        <w:t>NYU Langone Hospital—Long Island, 259 First Street, Mineola, NY 11501</w:t>
      </w:r>
    </w:p>
    <w:p w14:paraId="2A3C210D" w14:textId="77777777" w:rsidR="0007657F" w:rsidRPr="0007657F" w:rsidRDefault="0007657F" w:rsidP="0007657F">
      <w:pPr>
        <w:rPr>
          <w:rFonts w:ascii="Times New Roman" w:hAnsi="Times New Roman" w:cs="Times New Roman"/>
        </w:rPr>
      </w:pPr>
    </w:p>
    <w:p w14:paraId="5FCCC25E" w14:textId="77777777" w:rsidR="0007657F" w:rsidRPr="0007657F" w:rsidRDefault="0007657F" w:rsidP="0007657F">
      <w:pPr>
        <w:rPr>
          <w:rFonts w:ascii="Times New Roman" w:hAnsi="Times New Roman" w:cs="Times New Roman"/>
        </w:rPr>
      </w:pPr>
      <w:r w:rsidRPr="0007657F">
        <w:rPr>
          <w:rFonts w:ascii="Times New Roman" w:hAnsi="Times New Roman" w:cs="Times New Roman"/>
          <w:b/>
          <w:bCs/>
        </w:rPr>
        <w:t>Background</w:t>
      </w:r>
      <w:r w:rsidRPr="0007657F">
        <w:rPr>
          <w:rFonts w:ascii="Times New Roman" w:hAnsi="Times New Roman" w:cs="Times New Roman"/>
        </w:rPr>
        <w:t>: Loop and thiazide diuretics can cause hypochloremic metabolic alkalosis by promoting bicarbonate retention and acid secretion.</w:t>
      </w:r>
    </w:p>
    <w:p w14:paraId="4D497766" w14:textId="77777777" w:rsidR="0007657F" w:rsidRPr="0007657F" w:rsidRDefault="0007657F" w:rsidP="0007657F">
      <w:pPr>
        <w:rPr>
          <w:rFonts w:ascii="Times New Roman" w:hAnsi="Times New Roman" w:cs="Times New Roman"/>
        </w:rPr>
      </w:pPr>
      <w:r w:rsidRPr="0007657F">
        <w:rPr>
          <w:rFonts w:ascii="Times New Roman" w:hAnsi="Times New Roman" w:cs="Times New Roman"/>
          <w:b/>
          <w:bCs/>
        </w:rPr>
        <w:t>Objective</w:t>
      </w:r>
      <w:r w:rsidRPr="0007657F">
        <w:rPr>
          <w:rFonts w:ascii="Times New Roman" w:hAnsi="Times New Roman" w:cs="Times New Roman"/>
        </w:rPr>
        <w:t>: Primary objective of this quality improvement study is to evaluate acetazolamide’s role in reducing pH by 0.05 and serum bicarbonate levels by 2.5 to 5 mmol/liter. Secondary outcomes include changes in respiratory status and effect of chloride supplementation on resolution of the alkalosis.</w:t>
      </w:r>
    </w:p>
    <w:p w14:paraId="1676696F" w14:textId="77777777" w:rsidR="0007657F" w:rsidRPr="0007657F" w:rsidRDefault="0007657F" w:rsidP="0007657F">
      <w:pPr>
        <w:rPr>
          <w:rFonts w:ascii="Times New Roman" w:hAnsi="Times New Roman" w:cs="Times New Roman"/>
        </w:rPr>
      </w:pPr>
      <w:r w:rsidRPr="0007657F">
        <w:rPr>
          <w:rFonts w:ascii="Times New Roman" w:hAnsi="Times New Roman" w:cs="Times New Roman"/>
          <w:b/>
          <w:bCs/>
        </w:rPr>
        <w:t>Methods</w:t>
      </w:r>
      <w:r w:rsidRPr="0007657F">
        <w:rPr>
          <w:rFonts w:ascii="Times New Roman" w:hAnsi="Times New Roman" w:cs="Times New Roman"/>
        </w:rPr>
        <w:t>: An EPIC report spanning one year was carried out at three NYU Hospital campuses to identify patients less than 18 years of age who received acetazolamide. Inclusion criteria were alkalosis, defined as a pH greater than 7.45 and/or serum bicarbonate greater than 30 millimole/liter. Laboratory parameters were examined before and after acetazolamide. Respiratory status was measured by changes in oxygen delivery and requirements.</w:t>
      </w:r>
    </w:p>
    <w:p w14:paraId="57B797F2" w14:textId="77777777" w:rsidR="0007657F" w:rsidRPr="0007657F" w:rsidRDefault="0007657F" w:rsidP="0007657F">
      <w:pPr>
        <w:rPr>
          <w:rFonts w:ascii="Times New Roman" w:hAnsi="Times New Roman" w:cs="Times New Roman"/>
        </w:rPr>
      </w:pPr>
      <w:r w:rsidRPr="0007657F">
        <w:rPr>
          <w:rFonts w:ascii="Times New Roman" w:hAnsi="Times New Roman" w:cs="Times New Roman"/>
          <w:b/>
          <w:bCs/>
        </w:rPr>
        <w:t>Results</w:t>
      </w:r>
      <w:r w:rsidRPr="0007657F">
        <w:rPr>
          <w:rFonts w:ascii="Times New Roman" w:hAnsi="Times New Roman" w:cs="Times New Roman"/>
        </w:rPr>
        <w:t>: 20 patients were screened. 13 met the inclusion criteria. Mean acetazolamide dose was 5.04 mg/kg, with a range of one dose to three doses per day, for a duration of one to three days. Mean reduction in pH after acetazolamide was 0.0522 and mean reduction in serum bicarbonate was 5.82 mmol/L. FiO2 requirements decreased by 3.39% and SpO2 increased by 0.856. Chloride supplementation resulted in a lower reduction in serum bicarbonate. In patients who did not received chloride, FiO2 were reduced by 10.25%.</w:t>
      </w:r>
    </w:p>
    <w:p w14:paraId="394D09D6" w14:textId="5B7F384C" w:rsidR="0007657F" w:rsidRDefault="0007657F" w:rsidP="0007657F">
      <w:pPr>
        <w:rPr>
          <w:rFonts w:ascii="Times New Roman" w:hAnsi="Times New Roman" w:cs="Times New Roman"/>
        </w:rPr>
      </w:pPr>
      <w:r w:rsidRPr="0007657F">
        <w:rPr>
          <w:rFonts w:ascii="Times New Roman" w:hAnsi="Times New Roman" w:cs="Times New Roman"/>
          <w:b/>
          <w:bCs/>
        </w:rPr>
        <w:t>Conclusion</w:t>
      </w:r>
      <w:r w:rsidRPr="0007657F">
        <w:rPr>
          <w:rFonts w:ascii="Times New Roman" w:hAnsi="Times New Roman" w:cs="Times New Roman"/>
        </w:rPr>
        <w:t>: Acetazolamide was effective in treating hypochloremic metabolic alkalosis with reductions in pH and serum bicarbonate exceeding our predicted values. Improvements in respiratory status and greater reduction in serum bicarbonate occurred in patients who did not receive chloride supplementation.</w:t>
      </w:r>
    </w:p>
    <w:p w14:paraId="3A9FA87B" w14:textId="1A0F4D9A" w:rsidR="0007657F" w:rsidRDefault="0007657F" w:rsidP="0007657F">
      <w:pPr>
        <w:rPr>
          <w:rFonts w:ascii="Times New Roman" w:hAnsi="Times New Roman" w:cs="Times New Roman"/>
        </w:rPr>
      </w:pPr>
    </w:p>
    <w:p w14:paraId="5820DB65" w14:textId="7F8D9258" w:rsidR="0007657F" w:rsidRDefault="0007657F" w:rsidP="0007657F">
      <w:pPr>
        <w:rPr>
          <w:rFonts w:ascii="Times New Roman" w:hAnsi="Times New Roman" w:cs="Times New Roman"/>
        </w:rPr>
      </w:pPr>
    </w:p>
    <w:p w14:paraId="7534464E" w14:textId="717A26C7" w:rsidR="0007657F" w:rsidRDefault="0007657F" w:rsidP="0007657F">
      <w:pPr>
        <w:rPr>
          <w:rFonts w:ascii="Times New Roman" w:hAnsi="Times New Roman" w:cs="Times New Roman"/>
        </w:rPr>
      </w:pPr>
    </w:p>
    <w:p w14:paraId="762E97A7" w14:textId="747CC924" w:rsidR="0007657F" w:rsidRDefault="0007657F" w:rsidP="0007657F">
      <w:pPr>
        <w:rPr>
          <w:rFonts w:ascii="Times New Roman" w:hAnsi="Times New Roman" w:cs="Times New Roman"/>
        </w:rPr>
      </w:pPr>
    </w:p>
    <w:p w14:paraId="723D646F" w14:textId="3842E7FE" w:rsidR="0007657F" w:rsidRDefault="0007657F" w:rsidP="0007657F">
      <w:pPr>
        <w:rPr>
          <w:rFonts w:ascii="Times New Roman" w:hAnsi="Times New Roman" w:cs="Times New Roman"/>
        </w:rPr>
      </w:pPr>
    </w:p>
    <w:p w14:paraId="79CAC3E0" w14:textId="72C968F3" w:rsidR="0007657F" w:rsidRDefault="0007657F" w:rsidP="0007657F">
      <w:pPr>
        <w:rPr>
          <w:rFonts w:ascii="Times New Roman" w:hAnsi="Times New Roman" w:cs="Times New Roman"/>
        </w:rPr>
      </w:pPr>
    </w:p>
    <w:p w14:paraId="33CC26CB" w14:textId="39F8FE9B" w:rsidR="0007657F" w:rsidRDefault="0007657F" w:rsidP="0007657F">
      <w:pPr>
        <w:rPr>
          <w:rFonts w:ascii="Times New Roman" w:hAnsi="Times New Roman" w:cs="Times New Roman"/>
        </w:rPr>
      </w:pPr>
    </w:p>
    <w:p w14:paraId="204C5761" w14:textId="2BC0DA43" w:rsidR="0007657F" w:rsidRDefault="0007657F" w:rsidP="0007657F">
      <w:pPr>
        <w:rPr>
          <w:rFonts w:ascii="Times New Roman" w:hAnsi="Times New Roman" w:cs="Times New Roman"/>
        </w:rPr>
      </w:pPr>
    </w:p>
    <w:p w14:paraId="208214C2" w14:textId="396316D7" w:rsidR="0007657F" w:rsidRDefault="0007657F" w:rsidP="0007657F">
      <w:pPr>
        <w:rPr>
          <w:rFonts w:ascii="Times New Roman" w:hAnsi="Times New Roman" w:cs="Times New Roman"/>
        </w:rPr>
      </w:pPr>
    </w:p>
    <w:p w14:paraId="29701112" w14:textId="4B4BA6A5" w:rsidR="0007657F" w:rsidRDefault="0007657F" w:rsidP="0007657F">
      <w:pPr>
        <w:rPr>
          <w:rFonts w:ascii="Times New Roman" w:hAnsi="Times New Roman" w:cs="Times New Roman"/>
        </w:rPr>
      </w:pPr>
    </w:p>
    <w:p w14:paraId="3044F03E" w14:textId="5FC14E5E" w:rsidR="0007657F" w:rsidRDefault="0007657F" w:rsidP="0007657F">
      <w:pPr>
        <w:rPr>
          <w:rFonts w:ascii="Times New Roman" w:hAnsi="Times New Roman" w:cs="Times New Roman"/>
        </w:rPr>
      </w:pPr>
    </w:p>
    <w:p w14:paraId="15E84FCE" w14:textId="0C4A5BA5" w:rsidR="0007657F" w:rsidRDefault="0007657F" w:rsidP="0007657F">
      <w:pPr>
        <w:rPr>
          <w:rFonts w:ascii="Times New Roman" w:hAnsi="Times New Roman" w:cs="Times New Roman"/>
        </w:rPr>
      </w:pPr>
    </w:p>
    <w:p w14:paraId="662D6648" w14:textId="77777777" w:rsidR="0007657F" w:rsidRPr="0007657F" w:rsidRDefault="0007657F" w:rsidP="0007657F">
      <w:pPr>
        <w:spacing w:after="0" w:line="240" w:lineRule="auto"/>
        <w:rPr>
          <w:rFonts w:ascii="Times New Roman" w:eastAsia="Calibri" w:hAnsi="Times New Roman" w:cs="Times New Roman"/>
        </w:rPr>
      </w:pPr>
      <w:r w:rsidRPr="0007657F">
        <w:rPr>
          <w:rFonts w:ascii="Times New Roman" w:eastAsia="Calibri" w:hAnsi="Times New Roman" w:cs="Times New Roman"/>
          <w:bCs/>
        </w:rPr>
        <w:lastRenderedPageBreak/>
        <w:t>OPTIMIZATION OF MEDICATION ALERTS TO REDUCE ALERT BURDEN AT A LARGE ACADEMIC MEDICAL CENTER</w:t>
      </w:r>
    </w:p>
    <w:p w14:paraId="76B9D788" w14:textId="77777777" w:rsidR="0007657F" w:rsidRPr="0007657F" w:rsidRDefault="0007657F" w:rsidP="0007657F">
      <w:pPr>
        <w:spacing w:after="0" w:line="240" w:lineRule="auto"/>
        <w:rPr>
          <w:rFonts w:ascii="Times New Roman" w:eastAsia="Calibri" w:hAnsi="Times New Roman" w:cs="Times New Roman"/>
        </w:rPr>
      </w:pPr>
    </w:p>
    <w:p w14:paraId="528E7484" w14:textId="77777777" w:rsidR="0007657F" w:rsidRPr="0007657F" w:rsidRDefault="0007657F" w:rsidP="0007657F">
      <w:pPr>
        <w:spacing w:after="0" w:line="240" w:lineRule="auto"/>
        <w:rPr>
          <w:rFonts w:ascii="Times New Roman" w:eastAsia="Calibri" w:hAnsi="Times New Roman" w:cs="Times New Roman"/>
          <w:bCs/>
        </w:rPr>
      </w:pPr>
      <w:r w:rsidRPr="0007657F">
        <w:rPr>
          <w:rFonts w:ascii="Times New Roman" w:eastAsia="Calibri" w:hAnsi="Times New Roman" w:cs="Times New Roman"/>
          <w:bCs/>
        </w:rPr>
        <w:t>Darzi K</w:t>
      </w:r>
      <w:r w:rsidRPr="0007657F">
        <w:rPr>
          <w:rFonts w:ascii="Arial Narrow" w:eastAsia="Calibri" w:hAnsi="Arial Narrow" w:cs="Times New Roman"/>
          <w:sz w:val="20"/>
          <w:szCs w:val="20"/>
        </w:rPr>
        <w:t>*</w:t>
      </w:r>
      <w:r w:rsidRPr="0007657F">
        <w:rPr>
          <w:rFonts w:ascii="Times New Roman" w:eastAsia="Calibri" w:hAnsi="Times New Roman" w:cs="Times New Roman"/>
          <w:bCs/>
        </w:rPr>
        <w:t>, Abraham R, Duthie E, Messing E, Sinnett M</w:t>
      </w:r>
      <w:r w:rsidRPr="0007657F">
        <w:rPr>
          <w:sz w:val="20"/>
          <w:szCs w:val="20"/>
        </w:rPr>
        <w:t xml:space="preserve"> </w:t>
      </w:r>
    </w:p>
    <w:p w14:paraId="3E18CC63" w14:textId="77777777" w:rsidR="0007657F" w:rsidRPr="0007657F" w:rsidRDefault="0007657F" w:rsidP="0007657F">
      <w:pPr>
        <w:spacing w:after="0" w:line="240" w:lineRule="auto"/>
        <w:rPr>
          <w:rFonts w:ascii="Times New Roman" w:eastAsia="Calibri" w:hAnsi="Times New Roman" w:cs="Times New Roman"/>
        </w:rPr>
      </w:pPr>
    </w:p>
    <w:p w14:paraId="5865C309" w14:textId="77777777" w:rsidR="0007657F" w:rsidRPr="0007657F" w:rsidRDefault="0007657F" w:rsidP="0007657F">
      <w:pPr>
        <w:spacing w:after="0" w:line="240" w:lineRule="auto"/>
        <w:rPr>
          <w:rFonts w:ascii="Times New Roman" w:eastAsia="Calibri" w:hAnsi="Times New Roman" w:cs="Times New Roman"/>
        </w:rPr>
      </w:pPr>
      <w:r w:rsidRPr="0007657F">
        <w:rPr>
          <w:rFonts w:ascii="Times New Roman" w:eastAsia="Calibri" w:hAnsi="Times New Roman" w:cs="Times New Roman"/>
        </w:rPr>
        <w:t>Montefiore Medical Center, 111 East 210th Street, Bronx, NY 10467</w:t>
      </w:r>
    </w:p>
    <w:p w14:paraId="52F81EA3" w14:textId="77777777" w:rsidR="0007657F" w:rsidRPr="0007657F" w:rsidRDefault="0007657F" w:rsidP="0007657F">
      <w:pPr>
        <w:spacing w:after="0" w:line="240" w:lineRule="auto"/>
        <w:rPr>
          <w:rFonts w:ascii="Times New Roman" w:eastAsia="Calibri" w:hAnsi="Times New Roman" w:cs="Times New Roman"/>
        </w:rPr>
      </w:pPr>
    </w:p>
    <w:p w14:paraId="13BC4269" w14:textId="77777777" w:rsidR="0007657F" w:rsidRPr="0007657F" w:rsidRDefault="0007657F" w:rsidP="0007657F">
      <w:pPr>
        <w:spacing w:after="0" w:line="240" w:lineRule="auto"/>
        <w:rPr>
          <w:rFonts w:ascii="Times New Roman" w:eastAsia="Calibri" w:hAnsi="Times New Roman" w:cs="Times New Roman"/>
        </w:rPr>
      </w:pPr>
      <w:bookmarkStart w:id="2" w:name="_Hlk65404291"/>
      <w:r w:rsidRPr="0007657F">
        <w:rPr>
          <w:rFonts w:ascii="Times New Roman" w:eastAsia="Calibri" w:hAnsi="Times New Roman" w:cs="Times New Roman"/>
          <w:b/>
        </w:rPr>
        <w:t>Background</w:t>
      </w:r>
      <w:bookmarkEnd w:id="2"/>
      <w:r w:rsidRPr="0007657F">
        <w:rPr>
          <w:rFonts w:ascii="Times New Roman" w:eastAsia="Calibri" w:hAnsi="Times New Roman" w:cs="Times New Roman"/>
          <w:b/>
        </w:rPr>
        <w:t>:</w:t>
      </w:r>
      <w:r w:rsidRPr="0007657F">
        <w:rPr>
          <w:rFonts w:ascii="Times New Roman" w:eastAsia="Calibri" w:hAnsi="Times New Roman" w:cs="Times New Roman"/>
        </w:rPr>
        <w:t xml:space="preserve"> </w:t>
      </w:r>
    </w:p>
    <w:p w14:paraId="384C7EE7" w14:textId="77777777" w:rsidR="0007657F" w:rsidRPr="0007657F" w:rsidRDefault="0007657F" w:rsidP="0007657F">
      <w:pPr>
        <w:spacing w:after="0" w:line="240" w:lineRule="auto"/>
        <w:rPr>
          <w:rFonts w:ascii="Times New Roman" w:eastAsia="Calibri" w:hAnsi="Times New Roman" w:cs="Times New Roman"/>
        </w:rPr>
      </w:pPr>
      <w:r w:rsidRPr="0007657F">
        <w:rPr>
          <w:rFonts w:ascii="Times New Roman" w:eastAsia="Calibri" w:hAnsi="Times New Roman" w:cs="Times New Roman"/>
        </w:rPr>
        <w:t xml:space="preserve">Alert fatigue is a significant healthcare challenge, often causing providers to overlook relevant warnings. At our institution, excessive alerts were hindering clinicians from responding to meaningful alerts, prompting a quality improvement initiative to reduce the overall alert burden. Our initiative aims to optimize medication alerts, reduce medication alert overrides, and improve clinician sensitization to meaningful alerts. </w:t>
      </w:r>
    </w:p>
    <w:p w14:paraId="69AD25B4" w14:textId="77777777" w:rsidR="0007657F" w:rsidRPr="0007657F" w:rsidRDefault="0007657F" w:rsidP="0007657F">
      <w:pPr>
        <w:spacing w:after="0" w:line="240" w:lineRule="auto"/>
        <w:rPr>
          <w:rFonts w:ascii="Times New Roman" w:eastAsia="Calibri" w:hAnsi="Times New Roman" w:cs="Times New Roman"/>
        </w:rPr>
      </w:pPr>
    </w:p>
    <w:p w14:paraId="328C56AA" w14:textId="77777777" w:rsidR="0007657F" w:rsidRPr="0007657F" w:rsidRDefault="0007657F" w:rsidP="0007657F">
      <w:pPr>
        <w:spacing w:after="0" w:line="240" w:lineRule="auto"/>
        <w:rPr>
          <w:rFonts w:ascii="Times New Roman" w:eastAsia="Calibri" w:hAnsi="Times New Roman" w:cs="Times New Roman"/>
          <w:b/>
        </w:rPr>
      </w:pPr>
      <w:r w:rsidRPr="0007657F">
        <w:rPr>
          <w:rFonts w:ascii="Times New Roman" w:eastAsia="Calibri" w:hAnsi="Times New Roman" w:cs="Times New Roman"/>
          <w:b/>
        </w:rPr>
        <w:t>Objective:</w:t>
      </w:r>
    </w:p>
    <w:p w14:paraId="4CE57D4A" w14:textId="77777777" w:rsidR="0007657F" w:rsidRPr="0007657F" w:rsidRDefault="0007657F" w:rsidP="0007657F">
      <w:pPr>
        <w:spacing w:after="0" w:line="240" w:lineRule="auto"/>
        <w:rPr>
          <w:rFonts w:ascii="Times New Roman" w:eastAsia="Calibri" w:hAnsi="Times New Roman" w:cs="Times New Roman"/>
        </w:rPr>
      </w:pPr>
      <w:r w:rsidRPr="0007657F">
        <w:rPr>
          <w:rFonts w:ascii="Times New Roman" w:eastAsia="Calibri" w:hAnsi="Times New Roman" w:cs="Times New Roman"/>
        </w:rPr>
        <w:t>The primary aim is to reduce the medication override rate by 10% by June 2021. The secondary aim includes measuring clinician response to the alerts, specifically analyzing the number of alerts that were acted upon.</w:t>
      </w:r>
    </w:p>
    <w:p w14:paraId="1B046F4E" w14:textId="77777777" w:rsidR="0007657F" w:rsidRPr="0007657F" w:rsidRDefault="0007657F" w:rsidP="0007657F">
      <w:pPr>
        <w:spacing w:after="0" w:line="240" w:lineRule="auto"/>
        <w:rPr>
          <w:rFonts w:ascii="Times New Roman" w:eastAsia="Calibri" w:hAnsi="Times New Roman" w:cs="Times New Roman"/>
        </w:rPr>
      </w:pPr>
    </w:p>
    <w:p w14:paraId="142EBAA3" w14:textId="77777777" w:rsidR="0007657F" w:rsidRPr="0007657F" w:rsidRDefault="0007657F" w:rsidP="0007657F">
      <w:pPr>
        <w:spacing w:after="0" w:line="240" w:lineRule="auto"/>
        <w:rPr>
          <w:rFonts w:ascii="Times New Roman" w:eastAsia="Calibri" w:hAnsi="Times New Roman" w:cs="Times New Roman"/>
        </w:rPr>
      </w:pPr>
      <w:r w:rsidRPr="0007657F">
        <w:rPr>
          <w:rFonts w:ascii="Times New Roman" w:eastAsia="Calibri" w:hAnsi="Times New Roman" w:cs="Times New Roman"/>
          <w:b/>
        </w:rPr>
        <w:t>Methods:</w:t>
      </w:r>
    </w:p>
    <w:p w14:paraId="5FBAB4A3" w14:textId="77777777" w:rsidR="0007657F" w:rsidRPr="0007657F" w:rsidRDefault="0007657F" w:rsidP="0007657F">
      <w:pPr>
        <w:spacing w:after="0" w:line="240" w:lineRule="auto"/>
        <w:rPr>
          <w:rFonts w:ascii="Times New Roman" w:eastAsia="Calibri" w:hAnsi="Times New Roman" w:cs="Times New Roman"/>
        </w:rPr>
      </w:pPr>
      <w:r w:rsidRPr="0007657F">
        <w:rPr>
          <w:rFonts w:ascii="Times New Roman" w:eastAsia="Calibri" w:hAnsi="Times New Roman" w:cs="Times New Roman"/>
        </w:rPr>
        <w:t>This prospective analysis will be conducted between July 2020 and June 2021. All medication alerts that trigger for prescribers in both inpatient and outpatient settings will be included in our analysis. Data collected consists of the total number of medication alerts from the electronic health record (EHR), including the number of alerts for each medication alert type and the number of alerts that are either overridden, removed, viewed, or held by clinicians.</w:t>
      </w:r>
    </w:p>
    <w:p w14:paraId="18B0BE9D" w14:textId="77777777" w:rsidR="0007657F" w:rsidRPr="0007657F" w:rsidRDefault="0007657F" w:rsidP="0007657F">
      <w:pPr>
        <w:spacing w:after="0" w:line="240" w:lineRule="auto"/>
        <w:rPr>
          <w:rFonts w:ascii="Times New Roman" w:eastAsia="Calibri" w:hAnsi="Times New Roman" w:cs="Times New Roman"/>
        </w:rPr>
      </w:pPr>
    </w:p>
    <w:p w14:paraId="4F8D4801" w14:textId="77777777" w:rsidR="0007657F" w:rsidRPr="0007657F" w:rsidRDefault="0007657F" w:rsidP="0007657F">
      <w:pPr>
        <w:spacing w:after="0" w:line="240" w:lineRule="auto"/>
        <w:rPr>
          <w:rFonts w:ascii="Times New Roman" w:eastAsia="Calibri" w:hAnsi="Times New Roman" w:cs="Times New Roman"/>
        </w:rPr>
      </w:pPr>
      <w:r w:rsidRPr="0007657F">
        <w:rPr>
          <w:rFonts w:ascii="Times New Roman" w:eastAsia="Calibri" w:hAnsi="Times New Roman" w:cs="Times New Roman"/>
        </w:rPr>
        <w:t>An interdisciplinary group reviewed the alert override data, and selected duplicate therapy alerts as the first medication alert type for optimization. After completing a risk versus benefit analysis, the number of duplicate orders allowed for individual medication classes will be modified and implemented into our EHR. Data will be extracted to measure the effect of the change on the override rate and clinician response rate.</w:t>
      </w:r>
    </w:p>
    <w:p w14:paraId="7A102653" w14:textId="77777777" w:rsidR="0007657F" w:rsidRPr="0007657F" w:rsidRDefault="0007657F" w:rsidP="0007657F">
      <w:pPr>
        <w:spacing w:after="0" w:line="240" w:lineRule="auto"/>
        <w:rPr>
          <w:rFonts w:ascii="Times New Roman" w:eastAsia="Calibri" w:hAnsi="Times New Roman" w:cs="Times New Roman"/>
        </w:rPr>
      </w:pPr>
    </w:p>
    <w:p w14:paraId="589B47CB" w14:textId="77777777" w:rsidR="0007657F" w:rsidRPr="0007657F" w:rsidRDefault="0007657F" w:rsidP="0007657F">
      <w:pPr>
        <w:spacing w:after="0" w:line="240" w:lineRule="auto"/>
        <w:rPr>
          <w:rFonts w:ascii="Times New Roman" w:eastAsia="Calibri" w:hAnsi="Times New Roman" w:cs="Times New Roman"/>
        </w:rPr>
      </w:pPr>
      <w:r w:rsidRPr="0007657F">
        <w:rPr>
          <w:rFonts w:ascii="Times New Roman" w:eastAsia="Calibri" w:hAnsi="Times New Roman" w:cs="Times New Roman"/>
          <w:b/>
        </w:rPr>
        <w:t>Results:</w:t>
      </w:r>
      <w:r w:rsidRPr="0007657F">
        <w:rPr>
          <w:rFonts w:ascii="Times New Roman" w:eastAsia="Calibri" w:hAnsi="Times New Roman" w:cs="Times New Roman"/>
        </w:rPr>
        <w:t xml:space="preserve"> In progress</w:t>
      </w:r>
    </w:p>
    <w:p w14:paraId="581E2A82" w14:textId="77777777" w:rsidR="0007657F" w:rsidRPr="0007657F" w:rsidRDefault="0007657F" w:rsidP="0007657F">
      <w:pPr>
        <w:spacing w:after="0" w:line="240" w:lineRule="auto"/>
        <w:rPr>
          <w:rFonts w:ascii="Times New Roman" w:eastAsia="Calibri" w:hAnsi="Times New Roman" w:cs="Times New Roman"/>
        </w:rPr>
      </w:pPr>
    </w:p>
    <w:p w14:paraId="1851AF6C" w14:textId="77777777" w:rsidR="0007657F" w:rsidRPr="0007657F" w:rsidRDefault="0007657F" w:rsidP="0007657F">
      <w:pPr>
        <w:spacing w:after="0" w:line="240" w:lineRule="auto"/>
        <w:rPr>
          <w:rFonts w:ascii="Times New Roman" w:eastAsia="Calibri" w:hAnsi="Times New Roman" w:cs="Times New Roman"/>
        </w:rPr>
      </w:pPr>
      <w:r w:rsidRPr="0007657F">
        <w:rPr>
          <w:rFonts w:ascii="Times New Roman" w:eastAsia="Calibri" w:hAnsi="Times New Roman" w:cs="Times New Roman"/>
          <w:b/>
        </w:rPr>
        <w:t>Conclusions:</w:t>
      </w:r>
      <w:r w:rsidRPr="0007657F">
        <w:rPr>
          <w:rFonts w:ascii="Times New Roman" w:eastAsia="Calibri" w:hAnsi="Times New Roman" w:cs="Times New Roman"/>
        </w:rPr>
        <w:t xml:space="preserve"> In progress</w:t>
      </w:r>
    </w:p>
    <w:p w14:paraId="1BAA7933" w14:textId="34363C56" w:rsidR="0007657F" w:rsidRDefault="0007657F" w:rsidP="0007657F">
      <w:pPr>
        <w:rPr>
          <w:rFonts w:ascii="Times New Roman" w:hAnsi="Times New Roman" w:cs="Times New Roman"/>
        </w:rPr>
      </w:pPr>
    </w:p>
    <w:p w14:paraId="1FB58B1B" w14:textId="12A658D0" w:rsidR="0007657F" w:rsidRDefault="0007657F" w:rsidP="0007657F">
      <w:pPr>
        <w:rPr>
          <w:rFonts w:ascii="Times New Roman" w:hAnsi="Times New Roman" w:cs="Times New Roman"/>
        </w:rPr>
      </w:pPr>
    </w:p>
    <w:p w14:paraId="12A9DA6A" w14:textId="192CC67D" w:rsidR="0007657F" w:rsidRDefault="0007657F" w:rsidP="0007657F">
      <w:pPr>
        <w:rPr>
          <w:rFonts w:ascii="Times New Roman" w:hAnsi="Times New Roman" w:cs="Times New Roman"/>
        </w:rPr>
      </w:pPr>
    </w:p>
    <w:p w14:paraId="65C762CE" w14:textId="2D2657EC" w:rsidR="0007657F" w:rsidRDefault="0007657F" w:rsidP="0007657F">
      <w:pPr>
        <w:rPr>
          <w:rFonts w:ascii="Times New Roman" w:hAnsi="Times New Roman" w:cs="Times New Roman"/>
        </w:rPr>
      </w:pPr>
    </w:p>
    <w:p w14:paraId="3307BF78" w14:textId="4B49240D" w:rsidR="0007657F" w:rsidRDefault="0007657F" w:rsidP="0007657F">
      <w:pPr>
        <w:rPr>
          <w:rFonts w:ascii="Times New Roman" w:hAnsi="Times New Roman" w:cs="Times New Roman"/>
        </w:rPr>
      </w:pPr>
    </w:p>
    <w:p w14:paraId="4FF8EF2C" w14:textId="1BFC4CC5" w:rsidR="0007657F" w:rsidRDefault="0007657F" w:rsidP="0007657F">
      <w:pPr>
        <w:rPr>
          <w:rFonts w:ascii="Times New Roman" w:hAnsi="Times New Roman" w:cs="Times New Roman"/>
        </w:rPr>
      </w:pPr>
    </w:p>
    <w:p w14:paraId="3919D69E" w14:textId="2F4B35F4" w:rsidR="0007657F" w:rsidRDefault="0007657F" w:rsidP="0007657F">
      <w:pPr>
        <w:rPr>
          <w:rFonts w:ascii="Times New Roman" w:hAnsi="Times New Roman" w:cs="Times New Roman"/>
        </w:rPr>
      </w:pPr>
    </w:p>
    <w:p w14:paraId="7361A136" w14:textId="03729114" w:rsidR="0007657F" w:rsidRDefault="0007657F" w:rsidP="0007657F">
      <w:pPr>
        <w:rPr>
          <w:rFonts w:ascii="Times New Roman" w:hAnsi="Times New Roman" w:cs="Times New Roman"/>
        </w:rPr>
      </w:pPr>
    </w:p>
    <w:p w14:paraId="5D345480" w14:textId="3B9AA118" w:rsidR="0007657F" w:rsidRDefault="0007657F" w:rsidP="0007657F">
      <w:pPr>
        <w:rPr>
          <w:rFonts w:ascii="Times New Roman" w:hAnsi="Times New Roman" w:cs="Times New Roman"/>
        </w:rPr>
      </w:pPr>
    </w:p>
    <w:p w14:paraId="4C694A1A" w14:textId="77777777" w:rsidR="0007657F" w:rsidRDefault="0007657F" w:rsidP="0007657F">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EFFICACY AND SAFETY OF DIRECT ORAL ANTICOAGULANTS IN EXTREMES OF WEIGHT</w:t>
      </w:r>
    </w:p>
    <w:p w14:paraId="7E4CA361" w14:textId="77777777" w:rsidR="0007657F" w:rsidRDefault="0007657F" w:rsidP="0007657F">
      <w:pPr>
        <w:rPr>
          <w:rFonts w:ascii="Times New Roman" w:eastAsia="Times New Roman" w:hAnsi="Times New Roman" w:cs="Times New Roman"/>
        </w:rPr>
      </w:pPr>
    </w:p>
    <w:p w14:paraId="5D24BB92" w14:textId="77777777" w:rsidR="0007657F" w:rsidRDefault="0007657F" w:rsidP="0007657F">
      <w:pPr>
        <w:rPr>
          <w:rFonts w:ascii="Times New Roman" w:eastAsia="Times New Roman" w:hAnsi="Times New Roman" w:cs="Times New Roman"/>
          <w:color w:val="000000"/>
        </w:rPr>
      </w:pPr>
      <w:r>
        <w:rPr>
          <w:rFonts w:ascii="Times New Roman" w:eastAsia="Times New Roman" w:hAnsi="Times New Roman" w:cs="Times New Roman"/>
          <w:color w:val="000000"/>
        </w:rPr>
        <w:t>Davenport L*, Chin-Hon J, Huang J, Willner D, Akerman M, Hindenburg A</w:t>
      </w:r>
    </w:p>
    <w:p w14:paraId="653CA947" w14:textId="77777777" w:rsidR="0007657F" w:rsidRDefault="0007657F" w:rsidP="0007657F">
      <w:pPr>
        <w:rPr>
          <w:rFonts w:ascii="Times New Roman" w:eastAsia="Times New Roman" w:hAnsi="Times New Roman" w:cs="Times New Roman"/>
        </w:rPr>
      </w:pPr>
    </w:p>
    <w:p w14:paraId="6336EF71" w14:textId="77777777" w:rsidR="0007657F" w:rsidRDefault="0007657F" w:rsidP="0007657F">
      <w:pPr>
        <w:rPr>
          <w:rFonts w:ascii="Times New Roman" w:eastAsia="Times New Roman" w:hAnsi="Times New Roman" w:cs="Times New Roman"/>
          <w:color w:val="000000"/>
        </w:rPr>
      </w:pPr>
      <w:r>
        <w:rPr>
          <w:rFonts w:ascii="Times New Roman" w:eastAsia="Times New Roman" w:hAnsi="Times New Roman" w:cs="Times New Roman"/>
          <w:color w:val="000000"/>
        </w:rPr>
        <w:t>NYU Langone Hospital - Long Island, 159 First Street, Mineola, NY 11501</w:t>
      </w:r>
    </w:p>
    <w:p w14:paraId="4D8CBC68" w14:textId="77777777" w:rsidR="0007657F" w:rsidRDefault="0007657F" w:rsidP="0007657F">
      <w:pPr>
        <w:rPr>
          <w:rFonts w:ascii="Times New Roman" w:eastAsia="Times New Roman" w:hAnsi="Times New Roman" w:cs="Times New Roman"/>
          <w:b/>
          <w:bCs/>
          <w:color w:val="000000"/>
        </w:rPr>
      </w:pPr>
    </w:p>
    <w:p w14:paraId="2B24D360" w14:textId="77777777" w:rsidR="0007657F" w:rsidRDefault="0007657F" w:rsidP="0007657F">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Background: </w:t>
      </w:r>
      <w:r>
        <w:rPr>
          <w:rFonts w:ascii="Times New Roman" w:eastAsia="Times New Roman" w:hAnsi="Times New Roman" w:cs="Times New Roman"/>
          <w:color w:val="000000"/>
        </w:rPr>
        <w:t>Oral anticoagulants provide a non-invasive route of administration for venous thromboembolism (VTE) and nonvalvular atrial fibrillation (AF). Obese or underweight patients on a direct oral anticoagulant (DOAC) or warfarin may have increased risk for VTE or bleeding. </w:t>
      </w:r>
    </w:p>
    <w:p w14:paraId="3ECDCB70" w14:textId="77777777" w:rsidR="0007657F" w:rsidRDefault="0007657F" w:rsidP="0007657F">
      <w:pPr>
        <w:rPr>
          <w:rFonts w:ascii="Times New Roman" w:eastAsia="Times New Roman" w:hAnsi="Times New Roman" w:cs="Times New Roman"/>
        </w:rPr>
      </w:pPr>
    </w:p>
    <w:p w14:paraId="78025F0D" w14:textId="77777777" w:rsidR="0007657F" w:rsidRDefault="0007657F" w:rsidP="0007657F">
      <w:pPr>
        <w:rPr>
          <w:rFonts w:ascii="Times New Roman" w:eastAsia="Calibri" w:hAnsi="Times New Roman" w:cs="Times New Roman"/>
        </w:rPr>
      </w:pPr>
      <w:r>
        <w:rPr>
          <w:rFonts w:ascii="Times New Roman" w:eastAsia="Times New Roman" w:hAnsi="Times New Roman" w:cs="Times New Roman"/>
          <w:b/>
          <w:bCs/>
          <w:color w:val="000000"/>
        </w:rPr>
        <w:t>Objective:</w:t>
      </w:r>
      <w:r>
        <w:rPr>
          <w:rFonts w:ascii="Times New Roman" w:eastAsia="Times New Roman" w:hAnsi="Times New Roman" w:cs="Times New Roman"/>
          <w:color w:val="000000"/>
        </w:rPr>
        <w:t xml:space="preserve"> The primary outcome included incidence of VTE or bleeding in obese and underweight patients treated with a DOAC (apixaban, rivaroxaban, and dabigatran) or warfarin. Secondary outcomes were efficacy and safety of oral anticoagulants among four groups. Patients were included if their body mass index was below 18.5 kg/m</w:t>
      </w:r>
      <w:r>
        <w:rPr>
          <w:rFonts w:ascii="Times New Roman" w:eastAsia="Times New Roman" w:hAnsi="Times New Roman" w:cs="Times New Roman"/>
          <w:color w:val="000000"/>
          <w:vertAlign w:val="superscript"/>
        </w:rPr>
        <w:t xml:space="preserve">2 </w:t>
      </w:r>
      <w:r>
        <w:rPr>
          <w:rFonts w:ascii="Times New Roman" w:eastAsia="Times New Roman" w:hAnsi="Times New Roman" w:cs="Times New Roman"/>
          <w:color w:val="000000"/>
        </w:rPr>
        <w:t>or above 30 kg/m</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and if they had a history of either VTE or AF. </w:t>
      </w:r>
    </w:p>
    <w:p w14:paraId="0E056DFC" w14:textId="77777777" w:rsidR="0007657F" w:rsidRDefault="0007657F" w:rsidP="0007657F">
      <w:pPr>
        <w:rPr>
          <w:rFonts w:ascii="Times New Roman" w:eastAsia="Calibri" w:hAnsi="Times New Roman" w:cs="Times New Roman"/>
        </w:rPr>
      </w:pPr>
    </w:p>
    <w:p w14:paraId="0159248F" w14:textId="77777777" w:rsidR="0007657F" w:rsidRDefault="0007657F" w:rsidP="0007657F">
      <w:pPr>
        <w:rPr>
          <w:rFonts w:ascii="Times New Roman" w:eastAsia="Times New Roman" w:hAnsi="Times New Roman" w:cs="Times New Roman"/>
          <w:color w:val="000000"/>
        </w:rPr>
      </w:pPr>
      <w:r>
        <w:rPr>
          <w:rFonts w:ascii="Times New Roman" w:eastAsia="Times New Roman" w:hAnsi="Times New Roman" w:cs="Times New Roman"/>
          <w:b/>
          <w:bCs/>
          <w:color w:val="000000"/>
        </w:rPr>
        <w:t>Methods</w:t>
      </w:r>
      <w:r>
        <w:rPr>
          <w:rFonts w:ascii="Times New Roman" w:eastAsia="Times New Roman" w:hAnsi="Times New Roman" w:cs="Times New Roman"/>
          <w:color w:val="000000"/>
        </w:rPr>
        <w:t xml:space="preserve">: This was a single-centered, retrospective chart review evaluating efficacy and safety of oral warfarin or a DOAC in patients with extremes of weight between October 2016 to September 2020. This study met IRB exemption. </w:t>
      </w:r>
    </w:p>
    <w:p w14:paraId="53DC246A" w14:textId="77777777" w:rsidR="0007657F" w:rsidRDefault="0007657F" w:rsidP="0007657F">
      <w:pPr>
        <w:rPr>
          <w:rFonts w:ascii="Times New Roman" w:eastAsia="Times New Roman" w:hAnsi="Times New Roman" w:cs="Times New Roman"/>
        </w:rPr>
      </w:pPr>
    </w:p>
    <w:p w14:paraId="3F6DE5A1" w14:textId="77777777" w:rsidR="0007657F" w:rsidRDefault="0007657F" w:rsidP="0007657F">
      <w:pPr>
        <w:rPr>
          <w:rFonts w:ascii="Times New Roman" w:eastAsia="Times New Roman" w:hAnsi="Times New Roman" w:cs="Times New Roman"/>
          <w:color w:val="000000"/>
        </w:rPr>
      </w:pPr>
      <w:r>
        <w:rPr>
          <w:rFonts w:ascii="Times New Roman" w:eastAsia="Times New Roman" w:hAnsi="Times New Roman" w:cs="Times New Roman"/>
          <w:b/>
          <w:bCs/>
          <w:color w:val="000000"/>
        </w:rPr>
        <w:t>Results</w:t>
      </w:r>
      <w:r>
        <w:rPr>
          <w:rFonts w:ascii="Times New Roman" w:eastAsia="Times New Roman" w:hAnsi="Times New Roman" w:cs="Times New Roman"/>
          <w:color w:val="000000"/>
        </w:rPr>
        <w:t>: 244 patients received a DOAC and 248 patients received warfarin. There were no statistically significant differences in the rate of VTE between two groups (6.97% vs. 4.03%, p=0.15), or in the rate of bleeding events (24.6% vs. 20.9%, p=0.32). There was a statistically significant difference in the rate of VTE between four groups (warfarin = 4.03%; apixaban = 1.98%; rivaroxaban = 11%; dabigatran = 9.3%, p = 0.0149), and in the rate of bleeding (warfarin = 24.6%; apixaban = 11.88%; rivaroxaban = 25%; dabigatran = 32.56%, p = 0.0194). </w:t>
      </w:r>
    </w:p>
    <w:p w14:paraId="760F1EBD" w14:textId="77777777" w:rsidR="0007657F" w:rsidRDefault="0007657F" w:rsidP="0007657F">
      <w:pPr>
        <w:rPr>
          <w:rFonts w:ascii="Times New Roman" w:eastAsia="Times New Roman" w:hAnsi="Times New Roman" w:cs="Times New Roman"/>
        </w:rPr>
      </w:pPr>
    </w:p>
    <w:p w14:paraId="3622F374" w14:textId="54311858" w:rsidR="0007657F" w:rsidRDefault="0007657F" w:rsidP="0007657F">
      <w:pPr>
        <w:rPr>
          <w:rFonts w:ascii="Times New Roman" w:eastAsia="Times New Roman" w:hAnsi="Times New Roman" w:cs="Times New Roman"/>
          <w:color w:val="000000"/>
        </w:rPr>
      </w:pPr>
      <w:r>
        <w:rPr>
          <w:rFonts w:ascii="Times New Roman" w:eastAsia="Times New Roman" w:hAnsi="Times New Roman" w:cs="Times New Roman"/>
          <w:b/>
          <w:bCs/>
          <w:color w:val="000000"/>
        </w:rPr>
        <w:t>Conclusion</w:t>
      </w:r>
      <w:r>
        <w:rPr>
          <w:rFonts w:ascii="Times New Roman" w:eastAsia="Times New Roman" w:hAnsi="Times New Roman" w:cs="Times New Roman"/>
          <w:color w:val="000000"/>
        </w:rPr>
        <w:t>: Apixaban may be a safer oral anticoagulant in patients who are obese or underweight, compared to rivaroxaban, dabigatran, and warfarin.</w:t>
      </w:r>
    </w:p>
    <w:p w14:paraId="7A7FD1EA" w14:textId="14A4F812" w:rsidR="0007657F" w:rsidRDefault="0007657F" w:rsidP="0007657F">
      <w:pPr>
        <w:rPr>
          <w:rFonts w:ascii="Times New Roman" w:eastAsia="Times New Roman" w:hAnsi="Times New Roman" w:cs="Times New Roman"/>
          <w:color w:val="000000"/>
        </w:rPr>
      </w:pPr>
    </w:p>
    <w:p w14:paraId="17CD79F9" w14:textId="40CCF81C" w:rsidR="0007657F" w:rsidRDefault="0007657F" w:rsidP="0007657F">
      <w:pPr>
        <w:rPr>
          <w:rFonts w:ascii="Times New Roman" w:eastAsia="Times New Roman" w:hAnsi="Times New Roman" w:cs="Times New Roman"/>
          <w:color w:val="000000"/>
        </w:rPr>
      </w:pPr>
    </w:p>
    <w:p w14:paraId="12571BEC" w14:textId="32D6E6BB" w:rsidR="0007657F" w:rsidRDefault="0007657F" w:rsidP="0007657F">
      <w:pPr>
        <w:rPr>
          <w:rFonts w:ascii="Times New Roman" w:eastAsia="Times New Roman" w:hAnsi="Times New Roman" w:cs="Times New Roman"/>
          <w:color w:val="000000"/>
        </w:rPr>
      </w:pPr>
    </w:p>
    <w:p w14:paraId="795E5E09" w14:textId="344A71C3" w:rsidR="0007657F" w:rsidRDefault="0007657F" w:rsidP="0007657F">
      <w:pPr>
        <w:rPr>
          <w:rFonts w:ascii="Times New Roman" w:eastAsia="Times New Roman" w:hAnsi="Times New Roman" w:cs="Times New Roman"/>
          <w:color w:val="000000"/>
        </w:rPr>
      </w:pPr>
    </w:p>
    <w:p w14:paraId="26FB0E4C" w14:textId="086045E4" w:rsidR="0007657F" w:rsidRDefault="0007657F" w:rsidP="0007657F">
      <w:pPr>
        <w:rPr>
          <w:rFonts w:ascii="Times New Roman" w:eastAsia="Times New Roman" w:hAnsi="Times New Roman" w:cs="Times New Roman"/>
          <w:color w:val="000000"/>
        </w:rPr>
      </w:pPr>
    </w:p>
    <w:p w14:paraId="7065EBDB" w14:textId="11161AF6" w:rsidR="0007657F" w:rsidRDefault="0007657F" w:rsidP="0007657F">
      <w:pPr>
        <w:rPr>
          <w:rFonts w:ascii="Times New Roman" w:eastAsia="Times New Roman" w:hAnsi="Times New Roman" w:cs="Times New Roman"/>
          <w:color w:val="000000"/>
        </w:rPr>
      </w:pPr>
    </w:p>
    <w:p w14:paraId="18150026" w14:textId="78B36ECB" w:rsidR="0007657F" w:rsidRDefault="0007657F" w:rsidP="0007657F">
      <w:pPr>
        <w:rPr>
          <w:rFonts w:ascii="Times New Roman" w:eastAsia="Times New Roman" w:hAnsi="Times New Roman" w:cs="Times New Roman"/>
          <w:color w:val="000000"/>
        </w:rPr>
      </w:pPr>
    </w:p>
    <w:p w14:paraId="341F9F70" w14:textId="77777777" w:rsidR="008E7FCD" w:rsidRPr="008E7FCD" w:rsidRDefault="008E7FCD" w:rsidP="008E7FCD">
      <w:pPr>
        <w:rPr>
          <w:rFonts w:ascii="Times New Roman" w:hAnsi="Times New Roman" w:cs="Times New Roman"/>
        </w:rPr>
      </w:pPr>
      <w:r w:rsidRPr="008E7FCD">
        <w:rPr>
          <w:rFonts w:ascii="Times New Roman" w:hAnsi="Times New Roman" w:cs="Times New Roman"/>
        </w:rPr>
        <w:lastRenderedPageBreak/>
        <w:t>A SINGLE CENTER SURVEY OF PHARMACIST LED EDUCATION ON HEMATOLOGY AND ONCOLOGY TREATMENTS IN A GROUP SETTING</w:t>
      </w:r>
    </w:p>
    <w:p w14:paraId="3C345172" w14:textId="77777777" w:rsidR="008E7FCD" w:rsidRPr="008E7FCD" w:rsidRDefault="008E7FCD" w:rsidP="008E7FCD">
      <w:pPr>
        <w:rPr>
          <w:rFonts w:ascii="Times New Roman" w:hAnsi="Times New Roman" w:cs="Times New Roman"/>
          <w:lang w:val="es-ES"/>
        </w:rPr>
      </w:pPr>
      <w:r w:rsidRPr="008E7FCD">
        <w:rPr>
          <w:rFonts w:ascii="Times New Roman" w:hAnsi="Times New Roman" w:cs="Times New Roman"/>
          <w:lang w:val="es-ES"/>
        </w:rPr>
        <w:t>DeBell E, Lombardi CL, Lombardi, TP</w:t>
      </w:r>
    </w:p>
    <w:p w14:paraId="3E256060" w14:textId="77777777" w:rsidR="008E7FCD" w:rsidRPr="008E7FCD" w:rsidRDefault="008E7FCD" w:rsidP="008E7FCD">
      <w:pPr>
        <w:rPr>
          <w:rFonts w:ascii="Times New Roman" w:hAnsi="Times New Roman" w:cs="Times New Roman"/>
        </w:rPr>
      </w:pPr>
      <w:r w:rsidRPr="008E7FCD">
        <w:rPr>
          <w:rFonts w:ascii="Times New Roman" w:hAnsi="Times New Roman" w:cs="Times New Roman"/>
        </w:rPr>
        <w:t>St. Peter's Cancer Care Center, 315 S. Manning Blvd, Albany, NY 12208</w:t>
      </w:r>
    </w:p>
    <w:p w14:paraId="3AEF142C" w14:textId="77777777" w:rsidR="008E7FCD" w:rsidRPr="008E7FCD" w:rsidRDefault="008E7FCD" w:rsidP="008E7FCD">
      <w:pPr>
        <w:rPr>
          <w:rFonts w:ascii="Times New Roman" w:hAnsi="Times New Roman" w:cs="Times New Roman"/>
          <w:b/>
        </w:rPr>
      </w:pPr>
    </w:p>
    <w:p w14:paraId="00E5B8E6" w14:textId="77777777" w:rsidR="008E7FCD" w:rsidRPr="008E7FCD" w:rsidRDefault="008E7FCD" w:rsidP="008E7FCD">
      <w:pPr>
        <w:pStyle w:val="Default"/>
        <w:spacing w:line="360" w:lineRule="auto"/>
        <w:rPr>
          <w:sz w:val="28"/>
          <w:szCs w:val="28"/>
        </w:rPr>
      </w:pPr>
      <w:r w:rsidRPr="008E7FCD">
        <w:rPr>
          <w:b/>
          <w:sz w:val="22"/>
          <w:szCs w:val="22"/>
        </w:rPr>
        <w:t>Background:</w:t>
      </w:r>
      <w:r w:rsidRPr="008E7FCD">
        <w:rPr>
          <w:sz w:val="22"/>
          <w:szCs w:val="22"/>
        </w:rPr>
        <w:t xml:space="preserve"> Oncology medication regimens are increasingly more complicated. As additional regimens are introduced, the role of the pharmacist as an educator has increased in importance. Research regarding education on hematology and oncology treatments provided by pharmacists is scarce despite the frequent provision of this service. </w:t>
      </w:r>
    </w:p>
    <w:p w14:paraId="07F30C07" w14:textId="77777777" w:rsidR="008E7FCD" w:rsidRPr="008E7FCD" w:rsidRDefault="008E7FCD" w:rsidP="008E7FCD">
      <w:pPr>
        <w:spacing w:line="360" w:lineRule="auto"/>
        <w:rPr>
          <w:rFonts w:ascii="Times New Roman" w:hAnsi="Times New Roman" w:cs="Times New Roman"/>
        </w:rPr>
      </w:pPr>
      <w:r w:rsidRPr="008E7FCD">
        <w:rPr>
          <w:rFonts w:ascii="Times New Roman" w:hAnsi="Times New Roman" w:cs="Times New Roman"/>
          <w:b/>
        </w:rPr>
        <w:t>Objective:</w:t>
      </w:r>
      <w:r w:rsidRPr="008E7FCD">
        <w:rPr>
          <w:rFonts w:ascii="Times New Roman" w:hAnsi="Times New Roman" w:cs="Times New Roman"/>
        </w:rPr>
        <w:t xml:space="preserve"> This study evaluated the benefits of a pharmacist led education class using a survey tailored for patients undergoing hematology and oncology treatments.</w:t>
      </w:r>
    </w:p>
    <w:p w14:paraId="12210C10" w14:textId="77777777" w:rsidR="008E7FCD" w:rsidRPr="008E7FCD" w:rsidRDefault="008E7FCD" w:rsidP="008E7FCD">
      <w:pPr>
        <w:spacing w:line="360" w:lineRule="auto"/>
        <w:rPr>
          <w:rFonts w:ascii="Times New Roman" w:hAnsi="Times New Roman" w:cs="Times New Roman"/>
        </w:rPr>
      </w:pPr>
      <w:r w:rsidRPr="008E7FCD">
        <w:rPr>
          <w:rFonts w:ascii="Times New Roman" w:hAnsi="Times New Roman" w:cs="Times New Roman"/>
          <w:b/>
        </w:rPr>
        <w:t>Methods:</w:t>
      </w:r>
      <w:r w:rsidRPr="008E7FCD">
        <w:rPr>
          <w:rFonts w:ascii="Times New Roman" w:hAnsi="Times New Roman" w:cs="Times New Roman"/>
        </w:rPr>
        <w:t xml:space="preserve"> A Likert scale survey instrument with 14 questions and 2 open-ended questions was given to patients starting intravenous oncology/hematology treatment after completing the pharmacist led education class. </w:t>
      </w:r>
    </w:p>
    <w:p w14:paraId="18D8848A" w14:textId="77777777" w:rsidR="008E7FCD" w:rsidRPr="008E7FCD" w:rsidRDefault="008E7FCD" w:rsidP="008E7FCD">
      <w:pPr>
        <w:spacing w:line="360" w:lineRule="auto"/>
        <w:rPr>
          <w:rFonts w:ascii="Times New Roman" w:hAnsi="Times New Roman" w:cs="Times New Roman"/>
        </w:rPr>
      </w:pPr>
      <w:r w:rsidRPr="008E7FCD">
        <w:rPr>
          <w:rFonts w:ascii="Times New Roman" w:hAnsi="Times New Roman" w:cs="Times New Roman"/>
          <w:b/>
        </w:rPr>
        <w:t xml:space="preserve">Results: </w:t>
      </w:r>
      <w:r w:rsidRPr="008E7FCD">
        <w:rPr>
          <w:rFonts w:ascii="Times New Roman" w:hAnsi="Times New Roman" w:cs="Times New Roman"/>
        </w:rPr>
        <w:t xml:space="preserve">Thirty-five patients were screened and thirty-three completed the survey. In questions regarding pharmacist involvement, 82.75% of patients </w:t>
      </w:r>
      <w:r w:rsidRPr="008E7FCD">
        <w:rPr>
          <w:rFonts w:ascii="Times New Roman" w:hAnsi="Times New Roman" w:cs="Times New Roman"/>
          <w:i/>
        </w:rPr>
        <w:t>strongly agreed</w:t>
      </w:r>
      <w:r w:rsidRPr="008E7FCD">
        <w:rPr>
          <w:rFonts w:ascii="Times New Roman" w:hAnsi="Times New Roman" w:cs="Times New Roman"/>
        </w:rPr>
        <w:t xml:space="preserve"> that the pharmacist provided them with information to help them understand their medications, was approachable and professional, answered their questions and their care had been improved after attending the class. The percentage of patients surveyed that </w:t>
      </w:r>
      <w:r w:rsidRPr="008E7FCD">
        <w:rPr>
          <w:rFonts w:ascii="Times New Roman" w:hAnsi="Times New Roman" w:cs="Times New Roman"/>
          <w:i/>
        </w:rPr>
        <w:t xml:space="preserve">agreed </w:t>
      </w:r>
      <w:r w:rsidRPr="008E7FCD">
        <w:rPr>
          <w:rFonts w:ascii="Times New Roman" w:hAnsi="Times New Roman" w:cs="Times New Roman"/>
        </w:rPr>
        <w:t xml:space="preserve">with the statements above was 15.38% and 1.5% of patients chose not to respond. In questions regarding medication toxicity, 76% of patients </w:t>
      </w:r>
      <w:r w:rsidRPr="008E7FCD">
        <w:rPr>
          <w:rFonts w:ascii="Times New Roman" w:hAnsi="Times New Roman" w:cs="Times New Roman"/>
          <w:i/>
        </w:rPr>
        <w:t>strongly agreed</w:t>
      </w:r>
      <w:r w:rsidRPr="008E7FCD">
        <w:rPr>
          <w:rFonts w:ascii="Times New Roman" w:hAnsi="Times New Roman" w:cs="Times New Roman"/>
        </w:rPr>
        <w:t xml:space="preserve"> that the pharmacist provided them with information about potential toxicities, managing side effects, and the appropriate people to contact if they have questions. Of the patients surveyed, 17.4% </w:t>
      </w:r>
      <w:r w:rsidRPr="008E7FCD">
        <w:rPr>
          <w:rFonts w:ascii="Times New Roman" w:hAnsi="Times New Roman" w:cs="Times New Roman"/>
          <w:i/>
        </w:rPr>
        <w:t>agreed</w:t>
      </w:r>
      <w:r w:rsidRPr="008E7FCD">
        <w:rPr>
          <w:rFonts w:ascii="Times New Roman" w:hAnsi="Times New Roman" w:cs="Times New Roman"/>
        </w:rPr>
        <w:t xml:space="preserve"> with the statements above and 6.6% of patients chose not to respond. Responses to open-ended questions were positive.</w:t>
      </w:r>
    </w:p>
    <w:p w14:paraId="45615F3D" w14:textId="035979A4" w:rsidR="008E7FCD" w:rsidRDefault="008E7FCD" w:rsidP="008E7FCD">
      <w:pPr>
        <w:spacing w:line="360" w:lineRule="auto"/>
        <w:rPr>
          <w:rFonts w:ascii="Times New Roman" w:hAnsi="Times New Roman" w:cs="Times New Roman"/>
        </w:rPr>
      </w:pPr>
      <w:r w:rsidRPr="008E7FCD">
        <w:rPr>
          <w:rFonts w:ascii="Times New Roman" w:hAnsi="Times New Roman" w:cs="Times New Roman"/>
          <w:b/>
        </w:rPr>
        <w:t>Conclusions:</w:t>
      </w:r>
      <w:r w:rsidRPr="008E7FCD">
        <w:rPr>
          <w:rFonts w:ascii="Times New Roman" w:hAnsi="Times New Roman" w:cs="Times New Roman"/>
        </w:rPr>
        <w:t xml:space="preserve"> The responses to the survey indicate patients benefited from a pharmacist led education class regarding intravenous oncology/hematology treatments.</w:t>
      </w:r>
    </w:p>
    <w:p w14:paraId="1A9C46FF" w14:textId="785C63E0" w:rsidR="008E7FCD" w:rsidRDefault="008E7FCD" w:rsidP="008E7FCD">
      <w:pPr>
        <w:spacing w:line="360" w:lineRule="auto"/>
        <w:rPr>
          <w:rFonts w:ascii="Times New Roman" w:hAnsi="Times New Roman" w:cs="Times New Roman"/>
        </w:rPr>
      </w:pPr>
    </w:p>
    <w:p w14:paraId="0B706DE8" w14:textId="7335158D" w:rsidR="008E7FCD" w:rsidRDefault="008E7FCD" w:rsidP="008E7FCD">
      <w:pPr>
        <w:spacing w:line="360" w:lineRule="auto"/>
        <w:rPr>
          <w:rFonts w:ascii="Times New Roman" w:hAnsi="Times New Roman" w:cs="Times New Roman"/>
        </w:rPr>
      </w:pPr>
    </w:p>
    <w:p w14:paraId="5688ABDF" w14:textId="54366858" w:rsidR="008E7FCD" w:rsidRDefault="008E7FCD" w:rsidP="008E7FCD">
      <w:pPr>
        <w:spacing w:line="360" w:lineRule="auto"/>
        <w:rPr>
          <w:rFonts w:ascii="Times New Roman" w:hAnsi="Times New Roman" w:cs="Times New Roman"/>
        </w:rPr>
      </w:pPr>
    </w:p>
    <w:p w14:paraId="464DEC1C" w14:textId="3667B67B" w:rsidR="008E7FCD" w:rsidRDefault="008E7FCD" w:rsidP="008E7FCD">
      <w:pPr>
        <w:spacing w:line="360" w:lineRule="auto"/>
        <w:rPr>
          <w:rFonts w:ascii="Times New Roman" w:hAnsi="Times New Roman" w:cs="Times New Roman"/>
        </w:rPr>
      </w:pPr>
    </w:p>
    <w:p w14:paraId="259EDC8A" w14:textId="5A7F59D2" w:rsidR="008E7FCD" w:rsidRDefault="008E7FCD" w:rsidP="008E7FCD">
      <w:pPr>
        <w:spacing w:line="360" w:lineRule="auto"/>
        <w:rPr>
          <w:rFonts w:ascii="Times New Roman" w:hAnsi="Times New Roman" w:cs="Times New Roman"/>
        </w:rPr>
      </w:pPr>
    </w:p>
    <w:p w14:paraId="3B72240F" w14:textId="77777777" w:rsidR="008E7FCD" w:rsidRPr="008E7FCD" w:rsidRDefault="008E7FCD" w:rsidP="008E7FCD">
      <w:pPr>
        <w:spacing w:after="0" w:line="240" w:lineRule="auto"/>
        <w:rPr>
          <w:rFonts w:ascii="Times New Roman" w:hAnsi="Times New Roman" w:cs="Times New Roman"/>
        </w:rPr>
      </w:pPr>
      <w:r w:rsidRPr="008E7FCD">
        <w:rPr>
          <w:rFonts w:ascii="Times New Roman" w:hAnsi="Times New Roman" w:cs="Times New Roman"/>
        </w:rPr>
        <w:lastRenderedPageBreak/>
        <w:t>IMPACT OF AN INTEGRATED SPECIALTY PHARMACY CARE MODEL IN EPILEPSY PATIENTS</w:t>
      </w:r>
    </w:p>
    <w:p w14:paraId="24DE2FFD" w14:textId="77777777" w:rsidR="008E7FCD" w:rsidRPr="008E7FCD" w:rsidRDefault="008E7FCD" w:rsidP="008E7FCD">
      <w:pPr>
        <w:spacing w:after="0" w:line="240" w:lineRule="auto"/>
        <w:rPr>
          <w:rFonts w:ascii="Times New Roman" w:hAnsi="Times New Roman" w:cs="Times New Roman"/>
        </w:rPr>
      </w:pPr>
    </w:p>
    <w:p w14:paraId="7AE3BCE5" w14:textId="77777777" w:rsidR="008E7FCD" w:rsidRPr="008E7FCD" w:rsidRDefault="008E7FCD" w:rsidP="008E7FCD">
      <w:pPr>
        <w:spacing w:after="0" w:line="240" w:lineRule="auto"/>
        <w:rPr>
          <w:rFonts w:ascii="Times New Roman" w:hAnsi="Times New Roman" w:cs="Times New Roman"/>
          <w:u w:val="single"/>
        </w:rPr>
      </w:pPr>
      <w:r w:rsidRPr="008E7FCD">
        <w:rPr>
          <w:rFonts w:ascii="Times New Roman" w:hAnsi="Times New Roman" w:cs="Times New Roman"/>
          <w:u w:val="single"/>
        </w:rPr>
        <w:t>Diaz G*, Cha A, D’Anna S, Hutter- Irving T Galla A</w:t>
      </w:r>
    </w:p>
    <w:p w14:paraId="0DD2A20B" w14:textId="77777777" w:rsidR="008E7FCD" w:rsidRPr="008E7FCD" w:rsidRDefault="008E7FCD" w:rsidP="008E7FCD">
      <w:pPr>
        <w:spacing w:after="0" w:line="240" w:lineRule="auto"/>
        <w:rPr>
          <w:rFonts w:ascii="Times New Roman" w:hAnsi="Times New Roman" w:cs="Times New Roman"/>
        </w:rPr>
      </w:pPr>
    </w:p>
    <w:p w14:paraId="649F356B" w14:textId="77777777" w:rsidR="008E7FCD" w:rsidRPr="008E7FCD" w:rsidRDefault="008E7FCD" w:rsidP="008E7FCD">
      <w:pPr>
        <w:spacing w:after="0" w:line="240" w:lineRule="auto"/>
        <w:rPr>
          <w:rFonts w:ascii="Times New Roman" w:hAnsi="Times New Roman" w:cs="Times New Roman"/>
        </w:rPr>
      </w:pPr>
      <w:r w:rsidRPr="008E7FCD">
        <w:rPr>
          <w:rFonts w:ascii="Times New Roman" w:hAnsi="Times New Roman" w:cs="Times New Roman"/>
        </w:rPr>
        <w:t>Vivo Health Pharmacy- Northwell Health, 1983 Marcus Ave, Suite 118, New Hyde Park, NY 11042</w:t>
      </w:r>
    </w:p>
    <w:p w14:paraId="4AD13744" w14:textId="77777777" w:rsidR="008E7FCD" w:rsidRPr="008E7FCD" w:rsidRDefault="008E7FCD" w:rsidP="008E7FCD">
      <w:pPr>
        <w:spacing w:line="240" w:lineRule="auto"/>
        <w:rPr>
          <w:rFonts w:ascii="Times New Roman" w:hAnsi="Times New Roman" w:cs="Times New Roman"/>
        </w:rPr>
      </w:pPr>
    </w:p>
    <w:p w14:paraId="57420D09" w14:textId="77777777" w:rsidR="008E7FCD" w:rsidRPr="008E7FCD" w:rsidRDefault="008E7FCD" w:rsidP="008E7FCD">
      <w:pPr>
        <w:spacing w:line="240" w:lineRule="auto"/>
        <w:rPr>
          <w:rFonts w:ascii="Times New Roman" w:hAnsi="Times New Roman" w:cs="Times New Roman"/>
          <w:b/>
        </w:rPr>
      </w:pPr>
      <w:r w:rsidRPr="008E7FCD">
        <w:rPr>
          <w:rFonts w:ascii="Times New Roman" w:hAnsi="Times New Roman" w:cs="Times New Roman"/>
          <w:b/>
        </w:rPr>
        <w:t xml:space="preserve">Background: </w:t>
      </w:r>
      <w:r w:rsidRPr="008E7FCD">
        <w:rPr>
          <w:rFonts w:ascii="Times New Roman" w:hAnsi="Times New Roman" w:cs="Times New Roman"/>
        </w:rPr>
        <w:t xml:space="preserve">Anti- epileptic drugs (AEDs) are the primary prevention method for epilepsy, making adherence important in order to control seizures. The proper use of AEDs can reduce seizure frequency in approximately 67% of patients with epilepsy. Non-adherence is associated with poor outcomes for many disease states. The specialty pharmacy program currently provides patient management services for various specialty disease states, not including epilepsy. </w:t>
      </w:r>
    </w:p>
    <w:p w14:paraId="1BFAEA3D" w14:textId="77777777" w:rsidR="008E7FCD" w:rsidRPr="008E7FCD" w:rsidRDefault="008E7FCD" w:rsidP="008E7FCD">
      <w:pPr>
        <w:spacing w:line="240" w:lineRule="auto"/>
        <w:rPr>
          <w:rFonts w:ascii="Times New Roman" w:hAnsi="Times New Roman" w:cs="Times New Roman"/>
          <w:b/>
        </w:rPr>
      </w:pPr>
      <w:r w:rsidRPr="008E7FCD">
        <w:rPr>
          <w:rFonts w:ascii="Times New Roman" w:hAnsi="Times New Roman" w:cs="Times New Roman"/>
          <w:b/>
        </w:rPr>
        <w:t xml:space="preserve">Objectives: </w:t>
      </w:r>
      <w:r w:rsidRPr="008E7FCD">
        <w:rPr>
          <w:rFonts w:ascii="Times New Roman" w:hAnsi="Times New Roman" w:cs="Times New Roman"/>
        </w:rPr>
        <w:t>The primary outcome is adherence measured by proportion of days covered (PDC) after implementation of the pilot.  PDC will be compared to a historical cohort of patients with epilepsy prescription fills over the previous 12 month period.  Secondary descriptive outcomes include patient reported adherence, anti-epileptic regimen, pharmacist interventions, patient perceived benefit of therapy, and hospitalizations.</w:t>
      </w:r>
    </w:p>
    <w:p w14:paraId="03F8E315" w14:textId="77777777" w:rsidR="008E7FCD" w:rsidRPr="008E7FCD" w:rsidRDefault="008E7FCD" w:rsidP="008E7FCD">
      <w:pPr>
        <w:spacing w:line="240" w:lineRule="auto"/>
        <w:rPr>
          <w:rFonts w:ascii="Times New Roman" w:hAnsi="Times New Roman" w:cs="Times New Roman"/>
        </w:rPr>
      </w:pPr>
      <w:r w:rsidRPr="008E7FCD">
        <w:rPr>
          <w:rFonts w:ascii="Times New Roman" w:hAnsi="Times New Roman" w:cs="Times New Roman"/>
          <w:b/>
        </w:rPr>
        <w:t xml:space="preserve">Methods: </w:t>
      </w:r>
      <w:r w:rsidRPr="008E7FCD">
        <w:rPr>
          <w:rFonts w:ascii="Times New Roman" w:hAnsi="Times New Roman" w:cs="Times New Roman"/>
        </w:rPr>
        <w:t>This is a</w:t>
      </w:r>
      <w:r w:rsidRPr="008E7FCD">
        <w:rPr>
          <w:rFonts w:ascii="Times New Roman" w:hAnsi="Times New Roman" w:cs="Times New Roman"/>
          <w:b/>
        </w:rPr>
        <w:t xml:space="preserve"> </w:t>
      </w:r>
      <w:r w:rsidRPr="008E7FCD">
        <w:rPr>
          <w:rFonts w:ascii="Times New Roman" w:hAnsi="Times New Roman" w:cs="Times New Roman"/>
          <w:color w:val="000000"/>
          <w:shd w:val="clear" w:color="auto" w:fill="FFFFFF"/>
        </w:rPr>
        <w:t xml:space="preserve">multi-arm pre-post study. </w:t>
      </w:r>
      <w:r w:rsidRPr="008E7FCD">
        <w:rPr>
          <w:rFonts w:ascii="Times New Roman" w:hAnsi="Times New Roman" w:cs="Times New Roman"/>
        </w:rPr>
        <w:t xml:space="preserve">The pilot program will include patients discharged from the Epilepsy Monitoring Unit (EMU) with prescriptions sent to the hospital-based specialty pharmacy. </w:t>
      </w:r>
    </w:p>
    <w:p w14:paraId="7E2C4397" w14:textId="77777777" w:rsidR="008E7FCD" w:rsidRPr="008E7FCD" w:rsidRDefault="008E7FCD" w:rsidP="008E7FCD">
      <w:pPr>
        <w:pStyle w:val="Default"/>
        <w:spacing w:after="160"/>
        <w:rPr>
          <w:sz w:val="22"/>
          <w:szCs w:val="22"/>
        </w:rPr>
      </w:pPr>
      <w:r w:rsidRPr="008E7FCD">
        <w:rPr>
          <w:sz w:val="22"/>
          <w:szCs w:val="22"/>
        </w:rPr>
        <w:t xml:space="preserve">The patients will receive a comprehensive assessment from a pharmacist. During the assessments, the pharmacist will review: barriers to care, potential adverse events, changes to the patients’ medication list, progress towards therapeutic goals, and key education points. </w:t>
      </w:r>
    </w:p>
    <w:p w14:paraId="0329E315" w14:textId="77777777" w:rsidR="008E7FCD" w:rsidRPr="008E7FCD" w:rsidRDefault="008E7FCD" w:rsidP="008E7FCD">
      <w:pPr>
        <w:spacing w:line="240" w:lineRule="auto"/>
        <w:rPr>
          <w:rFonts w:ascii="Times New Roman" w:hAnsi="Times New Roman" w:cs="Times New Roman"/>
        </w:rPr>
      </w:pPr>
      <w:r w:rsidRPr="008E7FCD">
        <w:rPr>
          <w:rFonts w:ascii="Times New Roman" w:hAnsi="Times New Roman" w:cs="Times New Roman"/>
          <w:b/>
        </w:rPr>
        <w:t xml:space="preserve">Results: </w:t>
      </w:r>
      <w:r w:rsidRPr="008E7FCD">
        <w:rPr>
          <w:rFonts w:ascii="Times New Roman" w:hAnsi="Times New Roman" w:cs="Times New Roman"/>
        </w:rPr>
        <w:t xml:space="preserve">There were 288 patients included in the historical cohort with a PDC rate of 59.4%. These results will be compared to the PDC of the prospective pilot cohort using the Mann Whitney U Test.  </w:t>
      </w:r>
    </w:p>
    <w:p w14:paraId="78F94D67" w14:textId="509BF4FF" w:rsidR="008E7FCD" w:rsidRDefault="008E7FCD" w:rsidP="008E7FCD">
      <w:pPr>
        <w:spacing w:line="240" w:lineRule="auto"/>
        <w:rPr>
          <w:rFonts w:ascii="Times New Roman" w:hAnsi="Times New Roman" w:cs="Times New Roman"/>
          <w:shd w:val="clear" w:color="auto" w:fill="FFFFFF"/>
        </w:rPr>
      </w:pPr>
      <w:r w:rsidRPr="008E7FCD">
        <w:rPr>
          <w:rFonts w:ascii="Times New Roman" w:hAnsi="Times New Roman" w:cs="Times New Roman"/>
          <w:b/>
        </w:rPr>
        <w:t xml:space="preserve">Conclusion: </w:t>
      </w:r>
      <w:r w:rsidRPr="008E7FCD">
        <w:rPr>
          <w:rFonts w:ascii="Times New Roman" w:hAnsi="Times New Roman" w:cs="Times New Roman"/>
          <w:shd w:val="clear" w:color="auto" w:fill="FFFFFF"/>
        </w:rPr>
        <w:t xml:space="preserve">The preliminary results of this pilot study will be used to determine the impact of implementing a patient management program focused on epilepsy. </w:t>
      </w:r>
    </w:p>
    <w:p w14:paraId="0A12AEC9" w14:textId="09C807D3" w:rsidR="008E7FCD" w:rsidRDefault="008E7FCD" w:rsidP="008E7FCD">
      <w:pPr>
        <w:spacing w:line="240" w:lineRule="auto"/>
        <w:rPr>
          <w:rFonts w:ascii="Times New Roman" w:hAnsi="Times New Roman" w:cs="Times New Roman"/>
          <w:shd w:val="clear" w:color="auto" w:fill="FFFFFF"/>
        </w:rPr>
      </w:pPr>
    </w:p>
    <w:p w14:paraId="59E0E2F9" w14:textId="23704293" w:rsidR="008E7FCD" w:rsidRDefault="008E7FCD" w:rsidP="008E7FCD">
      <w:pPr>
        <w:spacing w:line="240" w:lineRule="auto"/>
        <w:rPr>
          <w:rFonts w:ascii="Times New Roman" w:hAnsi="Times New Roman" w:cs="Times New Roman"/>
          <w:shd w:val="clear" w:color="auto" w:fill="FFFFFF"/>
        </w:rPr>
      </w:pPr>
    </w:p>
    <w:p w14:paraId="24B6CC42" w14:textId="13C6C510" w:rsidR="008E7FCD" w:rsidRDefault="008E7FCD" w:rsidP="008E7FCD">
      <w:pPr>
        <w:spacing w:line="240" w:lineRule="auto"/>
        <w:rPr>
          <w:rFonts w:ascii="Times New Roman" w:hAnsi="Times New Roman" w:cs="Times New Roman"/>
          <w:shd w:val="clear" w:color="auto" w:fill="FFFFFF"/>
        </w:rPr>
      </w:pPr>
    </w:p>
    <w:p w14:paraId="4B82BC6C" w14:textId="71834B41" w:rsidR="008E7FCD" w:rsidRDefault="008E7FCD" w:rsidP="008E7FCD">
      <w:pPr>
        <w:spacing w:line="240" w:lineRule="auto"/>
        <w:rPr>
          <w:rFonts w:ascii="Times New Roman" w:hAnsi="Times New Roman" w:cs="Times New Roman"/>
          <w:shd w:val="clear" w:color="auto" w:fill="FFFFFF"/>
        </w:rPr>
      </w:pPr>
    </w:p>
    <w:p w14:paraId="54EAFC84" w14:textId="55E63030" w:rsidR="008E7FCD" w:rsidRDefault="008E7FCD" w:rsidP="008E7FCD">
      <w:pPr>
        <w:spacing w:line="240" w:lineRule="auto"/>
        <w:rPr>
          <w:rFonts w:ascii="Times New Roman" w:hAnsi="Times New Roman" w:cs="Times New Roman"/>
          <w:shd w:val="clear" w:color="auto" w:fill="FFFFFF"/>
        </w:rPr>
      </w:pPr>
    </w:p>
    <w:p w14:paraId="7AD39247" w14:textId="219F9CC4" w:rsidR="008E7FCD" w:rsidRDefault="008E7FCD" w:rsidP="008E7FCD">
      <w:pPr>
        <w:spacing w:line="240" w:lineRule="auto"/>
        <w:rPr>
          <w:rFonts w:ascii="Times New Roman" w:hAnsi="Times New Roman" w:cs="Times New Roman"/>
          <w:shd w:val="clear" w:color="auto" w:fill="FFFFFF"/>
        </w:rPr>
      </w:pPr>
    </w:p>
    <w:p w14:paraId="034DBF22" w14:textId="58AA2A1B" w:rsidR="008E7FCD" w:rsidRDefault="008E7FCD" w:rsidP="008E7FCD">
      <w:pPr>
        <w:spacing w:line="240" w:lineRule="auto"/>
        <w:rPr>
          <w:rFonts w:ascii="Times New Roman" w:hAnsi="Times New Roman" w:cs="Times New Roman"/>
          <w:shd w:val="clear" w:color="auto" w:fill="FFFFFF"/>
        </w:rPr>
      </w:pPr>
    </w:p>
    <w:p w14:paraId="131E34D7" w14:textId="08DDDD39" w:rsidR="008E7FCD" w:rsidRDefault="008E7FCD" w:rsidP="008E7FCD">
      <w:pPr>
        <w:spacing w:line="240" w:lineRule="auto"/>
        <w:rPr>
          <w:rFonts w:ascii="Times New Roman" w:hAnsi="Times New Roman" w:cs="Times New Roman"/>
          <w:shd w:val="clear" w:color="auto" w:fill="FFFFFF"/>
        </w:rPr>
      </w:pPr>
    </w:p>
    <w:p w14:paraId="427C8143" w14:textId="3D77D1F7" w:rsidR="008E7FCD" w:rsidRDefault="008E7FCD" w:rsidP="008E7FCD">
      <w:pPr>
        <w:spacing w:line="240" w:lineRule="auto"/>
        <w:rPr>
          <w:rFonts w:ascii="Times New Roman" w:hAnsi="Times New Roman" w:cs="Times New Roman"/>
          <w:shd w:val="clear" w:color="auto" w:fill="FFFFFF"/>
        </w:rPr>
      </w:pPr>
    </w:p>
    <w:p w14:paraId="38BEB66A" w14:textId="0768D781" w:rsidR="008E7FCD" w:rsidRDefault="008E7FCD" w:rsidP="008E7FCD">
      <w:pPr>
        <w:spacing w:line="240" w:lineRule="auto"/>
        <w:rPr>
          <w:rFonts w:ascii="Times New Roman" w:hAnsi="Times New Roman" w:cs="Times New Roman"/>
          <w:shd w:val="clear" w:color="auto" w:fill="FFFFFF"/>
        </w:rPr>
      </w:pPr>
    </w:p>
    <w:p w14:paraId="5C201EEB" w14:textId="574EF9E8" w:rsidR="008E7FCD" w:rsidRDefault="008E7FCD" w:rsidP="008E7FCD">
      <w:pPr>
        <w:spacing w:line="240" w:lineRule="auto"/>
        <w:rPr>
          <w:rFonts w:ascii="Times New Roman" w:hAnsi="Times New Roman" w:cs="Times New Roman"/>
          <w:shd w:val="clear" w:color="auto" w:fill="FFFFFF"/>
        </w:rPr>
      </w:pPr>
    </w:p>
    <w:p w14:paraId="0BD61FA3" w14:textId="30886856" w:rsidR="008E7FCD" w:rsidRDefault="008E7FCD" w:rsidP="008E7FCD">
      <w:pPr>
        <w:spacing w:line="240" w:lineRule="auto"/>
        <w:rPr>
          <w:rFonts w:ascii="Times New Roman" w:hAnsi="Times New Roman" w:cs="Times New Roman"/>
          <w:shd w:val="clear" w:color="auto" w:fill="FFFFFF"/>
        </w:rPr>
      </w:pPr>
    </w:p>
    <w:p w14:paraId="7C1786F3" w14:textId="2DA12512" w:rsidR="008E7FCD" w:rsidRDefault="008E7FCD" w:rsidP="008E7FCD">
      <w:pPr>
        <w:spacing w:line="240" w:lineRule="auto"/>
        <w:rPr>
          <w:rFonts w:ascii="Times New Roman" w:hAnsi="Times New Roman" w:cs="Times New Roman"/>
          <w:shd w:val="clear" w:color="auto" w:fill="FFFFFF"/>
        </w:rPr>
      </w:pPr>
    </w:p>
    <w:p w14:paraId="383457B6" w14:textId="0436E604" w:rsidR="008E7FCD" w:rsidRDefault="008E7FCD" w:rsidP="008E7FCD">
      <w:pPr>
        <w:rPr>
          <w:rFonts w:ascii="Times New Roman" w:hAnsi="Times New Roman"/>
          <w:b/>
          <w:sz w:val="24"/>
          <w:szCs w:val="24"/>
          <w:u w:val="single"/>
        </w:rPr>
      </w:pPr>
      <w:r>
        <w:rPr>
          <w:rFonts w:ascii="Times New Roman" w:hAnsi="Times New Roman"/>
          <w:sz w:val="24"/>
          <w:szCs w:val="24"/>
        </w:rPr>
        <w:lastRenderedPageBreak/>
        <w:t>COPD OUTREACH PROGRAM DURING NATIONAL COVID-19 PANDEMIC</w:t>
      </w:r>
    </w:p>
    <w:p w14:paraId="1A9B4739" w14:textId="4922D6BC" w:rsidR="008E7FCD" w:rsidRPr="008E7FCD" w:rsidRDefault="008E7FCD" w:rsidP="008E7FCD">
      <w:pPr>
        <w:rPr>
          <w:rFonts w:ascii="Times New Roman" w:hAnsi="Times New Roman"/>
          <w:sz w:val="24"/>
          <w:szCs w:val="24"/>
          <w:u w:val="single"/>
        </w:rPr>
      </w:pPr>
      <w:r>
        <w:rPr>
          <w:rFonts w:ascii="Times New Roman" w:hAnsi="Times New Roman"/>
          <w:sz w:val="24"/>
          <w:szCs w:val="24"/>
          <w:u w:val="single"/>
        </w:rPr>
        <w:t>Dill K*, Wilcox K, Wozniak A</w:t>
      </w:r>
    </w:p>
    <w:p w14:paraId="520818D8" w14:textId="77777777" w:rsidR="008E7FCD" w:rsidRDefault="008E7FCD" w:rsidP="008E7FCD">
      <w:pPr>
        <w:rPr>
          <w:rFonts w:ascii="Times New Roman" w:hAnsi="Times New Roman"/>
          <w:b/>
          <w:color w:val="000000"/>
          <w:sz w:val="24"/>
          <w:szCs w:val="24"/>
        </w:rPr>
      </w:pPr>
      <w:r>
        <w:rPr>
          <w:rFonts w:ascii="Times New Roman" w:hAnsi="Times New Roman"/>
          <w:sz w:val="24"/>
          <w:szCs w:val="24"/>
        </w:rPr>
        <w:t>Sisters of Charity Hospital, 2157 Main St, Buffalo, NY 14214</w:t>
      </w:r>
    </w:p>
    <w:p w14:paraId="1BADE6B8" w14:textId="77777777" w:rsidR="008E7FCD" w:rsidRDefault="008E7FCD" w:rsidP="008E7FCD">
      <w:pPr>
        <w:rPr>
          <w:rFonts w:ascii="Times New Roman" w:hAnsi="Times New Roman"/>
          <w:b/>
          <w:color w:val="000000"/>
          <w:sz w:val="24"/>
          <w:szCs w:val="24"/>
        </w:rPr>
      </w:pPr>
    </w:p>
    <w:p w14:paraId="7978E8EC" w14:textId="77777777" w:rsidR="008E7FCD" w:rsidRDefault="008E7FCD" w:rsidP="008E7FCD">
      <w:pPr>
        <w:rPr>
          <w:rFonts w:ascii="Times New Roman" w:hAnsi="Times New Roman"/>
          <w:b/>
          <w:color w:val="000000"/>
          <w:sz w:val="24"/>
          <w:szCs w:val="24"/>
        </w:rPr>
      </w:pPr>
      <w:r>
        <w:rPr>
          <w:rFonts w:ascii="Times New Roman" w:hAnsi="Times New Roman"/>
          <w:b/>
          <w:color w:val="000000"/>
          <w:sz w:val="24"/>
          <w:szCs w:val="24"/>
        </w:rPr>
        <w:t>Background</w:t>
      </w:r>
    </w:p>
    <w:p w14:paraId="2E8C9BE6" w14:textId="77777777" w:rsidR="008E7FCD" w:rsidRDefault="008E7FCD" w:rsidP="008E7FCD">
      <w:pPr>
        <w:rPr>
          <w:rFonts w:ascii="Times New Roman" w:hAnsi="Times New Roman"/>
          <w:color w:val="000000"/>
          <w:sz w:val="24"/>
          <w:szCs w:val="24"/>
        </w:rPr>
      </w:pPr>
      <w:r>
        <w:rPr>
          <w:rFonts w:ascii="Times New Roman" w:hAnsi="Times New Roman"/>
          <w:color w:val="000000"/>
          <w:sz w:val="24"/>
          <w:szCs w:val="24"/>
        </w:rPr>
        <w:t>The Chronic Obstructive Pulmonary Disease (COPD) GOLD guidelines states that patients with COPD are recommended to be on guideline directed therapy and maintain this therapy during the pandemic. Previous studies have found that pharmacists can help adherence rates of COPD medications and help reduce hospitalizations for COPD. However it is not known if this translates into a post COVID era. During the pandemic, in-person patient visits have decreased and the clinics are providing more telehealth services. Unfortunately, this provides a challenge for interdisciplinary care making it logistically difficult for pharmacists to continue in-person interventions. In response, a COPD outreach program was created to help educate, counsel, and evaluate patients’ current COPD therapy.</w:t>
      </w:r>
    </w:p>
    <w:p w14:paraId="63458B43" w14:textId="77777777" w:rsidR="008E7FCD" w:rsidRDefault="008E7FCD" w:rsidP="008E7FCD">
      <w:pPr>
        <w:rPr>
          <w:rFonts w:ascii="Times New Roman" w:hAnsi="Times New Roman"/>
          <w:b/>
          <w:color w:val="000000"/>
          <w:sz w:val="24"/>
          <w:szCs w:val="24"/>
        </w:rPr>
      </w:pPr>
    </w:p>
    <w:p w14:paraId="7DFC78D4" w14:textId="77777777" w:rsidR="008E7FCD" w:rsidRDefault="008E7FCD" w:rsidP="008E7FCD">
      <w:pPr>
        <w:rPr>
          <w:rFonts w:ascii="Times New Roman" w:hAnsi="Times New Roman"/>
          <w:b/>
          <w:color w:val="000000"/>
          <w:sz w:val="24"/>
          <w:szCs w:val="24"/>
        </w:rPr>
      </w:pPr>
      <w:r>
        <w:rPr>
          <w:rFonts w:ascii="Times New Roman" w:hAnsi="Times New Roman"/>
          <w:b/>
          <w:color w:val="000000"/>
          <w:sz w:val="24"/>
          <w:szCs w:val="24"/>
        </w:rPr>
        <w:t>Objective</w:t>
      </w:r>
    </w:p>
    <w:p w14:paraId="59B46802" w14:textId="77777777" w:rsidR="008E7FCD" w:rsidRDefault="008E7FCD" w:rsidP="008E7FCD">
      <w:pPr>
        <w:rPr>
          <w:rFonts w:ascii="Times New Roman" w:hAnsi="Times New Roman"/>
          <w:color w:val="000000"/>
          <w:sz w:val="24"/>
          <w:szCs w:val="24"/>
        </w:rPr>
      </w:pPr>
      <w:r>
        <w:rPr>
          <w:rFonts w:ascii="Times New Roman" w:hAnsi="Times New Roman"/>
          <w:color w:val="000000"/>
          <w:sz w:val="24"/>
          <w:szCs w:val="24"/>
        </w:rPr>
        <w:t>The primary outcome was the percentage of medication related problems addressed by the pharmacist. Patients were excluded if they were hospitalized or if unable to contact after 4 attempts.</w:t>
      </w:r>
    </w:p>
    <w:p w14:paraId="7906EC77" w14:textId="77777777" w:rsidR="008E7FCD" w:rsidRDefault="008E7FCD" w:rsidP="008E7FCD">
      <w:pPr>
        <w:rPr>
          <w:rFonts w:ascii="Times New Roman" w:hAnsi="Times New Roman"/>
          <w:color w:val="000000"/>
          <w:sz w:val="24"/>
          <w:szCs w:val="24"/>
        </w:rPr>
      </w:pPr>
    </w:p>
    <w:p w14:paraId="19AA85F9" w14:textId="77777777" w:rsidR="008E7FCD" w:rsidRDefault="008E7FCD" w:rsidP="008E7FCD">
      <w:pPr>
        <w:rPr>
          <w:rFonts w:ascii="Times New Roman" w:hAnsi="Times New Roman"/>
          <w:color w:val="000000"/>
          <w:sz w:val="24"/>
          <w:szCs w:val="24"/>
        </w:rPr>
      </w:pPr>
      <w:r>
        <w:rPr>
          <w:rFonts w:ascii="Times New Roman" w:hAnsi="Times New Roman"/>
          <w:b/>
          <w:color w:val="000000"/>
          <w:sz w:val="24"/>
          <w:szCs w:val="24"/>
        </w:rPr>
        <w:t>Methods</w:t>
      </w:r>
    </w:p>
    <w:p w14:paraId="3DE254EF" w14:textId="77777777" w:rsidR="008E7FCD" w:rsidRDefault="008E7FCD" w:rsidP="008E7FCD">
      <w:pPr>
        <w:rPr>
          <w:rFonts w:ascii="Times New Roman" w:hAnsi="Times New Roman"/>
          <w:color w:val="000000"/>
          <w:sz w:val="24"/>
          <w:szCs w:val="24"/>
        </w:rPr>
      </w:pPr>
      <w:r>
        <w:rPr>
          <w:rFonts w:ascii="Times New Roman" w:hAnsi="Times New Roman"/>
          <w:color w:val="000000"/>
          <w:sz w:val="24"/>
          <w:szCs w:val="24"/>
        </w:rPr>
        <w:t>This was a retrospective, multicenter, observational study to assess the pharmacists’ impact through the COPD outreach program.</w:t>
      </w:r>
    </w:p>
    <w:p w14:paraId="2EE1267F" w14:textId="77777777" w:rsidR="008E7FCD" w:rsidRDefault="008E7FCD" w:rsidP="008E7FCD">
      <w:pPr>
        <w:rPr>
          <w:rFonts w:ascii="Times New Roman" w:hAnsi="Times New Roman"/>
          <w:b/>
          <w:sz w:val="24"/>
          <w:szCs w:val="24"/>
        </w:rPr>
      </w:pPr>
    </w:p>
    <w:p w14:paraId="0E8EAF88" w14:textId="77777777" w:rsidR="008E7FCD" w:rsidRDefault="008E7FCD" w:rsidP="008E7FCD">
      <w:pPr>
        <w:rPr>
          <w:rFonts w:ascii="Times New Roman" w:hAnsi="Times New Roman"/>
          <w:b/>
          <w:sz w:val="24"/>
          <w:szCs w:val="24"/>
        </w:rPr>
      </w:pPr>
      <w:r>
        <w:rPr>
          <w:rFonts w:ascii="Times New Roman" w:hAnsi="Times New Roman"/>
          <w:b/>
          <w:sz w:val="24"/>
          <w:szCs w:val="24"/>
        </w:rPr>
        <w:t>Results</w:t>
      </w:r>
    </w:p>
    <w:p w14:paraId="12F09C45" w14:textId="77777777" w:rsidR="008E7FCD" w:rsidRDefault="008E7FCD" w:rsidP="008E7FCD">
      <w:pPr>
        <w:rPr>
          <w:rFonts w:ascii="Times New Roman" w:hAnsi="Times New Roman"/>
          <w:sz w:val="24"/>
          <w:szCs w:val="24"/>
        </w:rPr>
      </w:pPr>
      <w:r>
        <w:rPr>
          <w:rFonts w:ascii="Times New Roman" w:hAnsi="Times New Roman"/>
          <w:sz w:val="24"/>
          <w:szCs w:val="24"/>
        </w:rPr>
        <w:t xml:space="preserve">A total of 192 patients were contacted for the outreach program and 139 COPD outreach calls were completed. At baseline, a total of 28% of patients were on triple inhaled therapy and 19% were on no maintenance therapy. The pharmacy team identified 81 medication-related problems and made 96 interventions. Of these interventions, 41 were medication therapy adjustment recommendations made to the provider, with an acceptance rate of 83%. </w:t>
      </w:r>
    </w:p>
    <w:p w14:paraId="33A7CED2" w14:textId="77777777" w:rsidR="008E7FCD" w:rsidRDefault="008E7FCD" w:rsidP="008E7FCD">
      <w:pPr>
        <w:rPr>
          <w:rFonts w:ascii="Times New Roman" w:hAnsi="Times New Roman"/>
          <w:sz w:val="24"/>
          <w:szCs w:val="24"/>
        </w:rPr>
      </w:pPr>
    </w:p>
    <w:p w14:paraId="47B61A44" w14:textId="77777777" w:rsidR="008E7FCD" w:rsidRDefault="008E7FCD" w:rsidP="008E7FCD">
      <w:pPr>
        <w:rPr>
          <w:rFonts w:ascii="Times New Roman" w:hAnsi="Times New Roman"/>
          <w:b/>
          <w:sz w:val="24"/>
          <w:szCs w:val="24"/>
        </w:rPr>
      </w:pPr>
      <w:r>
        <w:rPr>
          <w:rFonts w:ascii="Times New Roman" w:hAnsi="Times New Roman"/>
          <w:b/>
          <w:sz w:val="24"/>
          <w:szCs w:val="24"/>
        </w:rPr>
        <w:t>Conclusions</w:t>
      </w:r>
    </w:p>
    <w:p w14:paraId="301A8396" w14:textId="5894B560" w:rsidR="008E7FCD" w:rsidRDefault="008E7FCD" w:rsidP="008E7FCD">
      <w:pPr>
        <w:rPr>
          <w:rFonts w:ascii="Times New Roman" w:hAnsi="Times New Roman"/>
          <w:sz w:val="24"/>
          <w:szCs w:val="24"/>
        </w:rPr>
      </w:pPr>
      <w:r>
        <w:rPr>
          <w:rFonts w:ascii="Times New Roman" w:hAnsi="Times New Roman"/>
          <w:sz w:val="24"/>
          <w:szCs w:val="24"/>
        </w:rPr>
        <w:t>A pharmacist ran COPD outreach program allowed for pharmacists to address medication related problems through a telemedicine service.</w:t>
      </w:r>
    </w:p>
    <w:p w14:paraId="2EBF98DF" w14:textId="77777777" w:rsidR="008E7FCD" w:rsidRDefault="008E7FCD" w:rsidP="008E7FCD">
      <w:pPr>
        <w:spacing w:after="0" w:line="240" w:lineRule="auto"/>
        <w:rPr>
          <w:rFonts w:ascii="Times New Roman" w:hAnsi="Times New Roman" w:cs="Times New Roman"/>
          <w:sz w:val="24"/>
          <w:szCs w:val="20"/>
        </w:rPr>
      </w:pPr>
      <w:r>
        <w:rPr>
          <w:rFonts w:ascii="Times New Roman" w:hAnsi="Times New Roman" w:cs="Times New Roman"/>
          <w:sz w:val="24"/>
          <w:szCs w:val="20"/>
        </w:rPr>
        <w:lastRenderedPageBreak/>
        <w:t>COMPLIANCE WITH A VENOUS THROMBOEMBOLISM SCREENING TOOL IN THE PEDIATRIC POPULATION</w:t>
      </w:r>
    </w:p>
    <w:p w14:paraId="07587463" w14:textId="77777777" w:rsidR="008E7FCD" w:rsidRDefault="008E7FCD" w:rsidP="008E7FCD">
      <w:pPr>
        <w:spacing w:after="0" w:line="240" w:lineRule="auto"/>
        <w:rPr>
          <w:rFonts w:ascii="Times New Roman" w:hAnsi="Times New Roman" w:cs="Times New Roman"/>
          <w:sz w:val="24"/>
          <w:szCs w:val="20"/>
        </w:rPr>
      </w:pPr>
      <w:r>
        <w:rPr>
          <w:rFonts w:ascii="Times New Roman" w:hAnsi="Times New Roman" w:cs="Times New Roman"/>
          <w:sz w:val="24"/>
          <w:szCs w:val="20"/>
          <w:u w:val="single"/>
        </w:rPr>
        <w:t>Dumont O</w:t>
      </w:r>
      <w:r>
        <w:rPr>
          <w:rFonts w:ascii="Times New Roman" w:hAnsi="Times New Roman" w:cs="Times New Roman"/>
          <w:sz w:val="24"/>
          <w:szCs w:val="20"/>
        </w:rPr>
        <w:t xml:space="preserve">*, </w:t>
      </w:r>
      <w:r>
        <w:rPr>
          <w:rFonts w:ascii="Times New Roman" w:hAnsi="Times New Roman" w:cs="Times New Roman"/>
          <w:sz w:val="24"/>
          <w:szCs w:val="20"/>
          <w:u w:val="single"/>
        </w:rPr>
        <w:t>Ngai L</w:t>
      </w:r>
      <w:r>
        <w:rPr>
          <w:rFonts w:ascii="Times New Roman" w:hAnsi="Times New Roman" w:cs="Times New Roman"/>
          <w:sz w:val="24"/>
          <w:szCs w:val="20"/>
        </w:rPr>
        <w:t xml:space="preserve">, </w:t>
      </w:r>
      <w:r>
        <w:rPr>
          <w:rFonts w:ascii="Times New Roman" w:hAnsi="Times New Roman" w:cs="Times New Roman"/>
          <w:sz w:val="24"/>
          <w:szCs w:val="20"/>
          <w:u w:val="single"/>
        </w:rPr>
        <w:t>Caliendo G</w:t>
      </w:r>
    </w:p>
    <w:p w14:paraId="6775B77B" w14:textId="77777777" w:rsidR="008E7FCD" w:rsidRDefault="008E7FCD" w:rsidP="008E7FCD">
      <w:pPr>
        <w:spacing w:after="0" w:line="240" w:lineRule="auto"/>
        <w:rPr>
          <w:rFonts w:ascii="Times New Roman" w:hAnsi="Times New Roman" w:cs="Times New Roman"/>
          <w:sz w:val="24"/>
          <w:szCs w:val="20"/>
        </w:rPr>
      </w:pPr>
      <w:r>
        <w:rPr>
          <w:rFonts w:ascii="Times New Roman" w:hAnsi="Times New Roman" w:cs="Times New Roman"/>
          <w:sz w:val="24"/>
          <w:szCs w:val="20"/>
        </w:rPr>
        <w:t>The Mount Sinai Hospital, 1 Gustave L. Levy Place, New York, NY 10029</w:t>
      </w:r>
    </w:p>
    <w:p w14:paraId="2A0CC865" w14:textId="77777777" w:rsidR="008E7FCD" w:rsidRDefault="008E7FCD" w:rsidP="008E7FCD">
      <w:pPr>
        <w:spacing w:after="0" w:line="240" w:lineRule="auto"/>
        <w:rPr>
          <w:rFonts w:ascii="Times New Roman" w:hAnsi="Times New Roman" w:cs="Times New Roman"/>
          <w:sz w:val="24"/>
          <w:szCs w:val="20"/>
        </w:rPr>
      </w:pPr>
    </w:p>
    <w:p w14:paraId="477094F2" w14:textId="77777777" w:rsidR="008E7FCD" w:rsidRDefault="008E7FCD" w:rsidP="008E7FCD">
      <w:pPr>
        <w:spacing w:after="0" w:line="240" w:lineRule="auto"/>
        <w:rPr>
          <w:rFonts w:ascii="Times New Roman" w:hAnsi="Times New Roman" w:cs="Times New Roman"/>
          <w:sz w:val="24"/>
          <w:szCs w:val="20"/>
        </w:rPr>
      </w:pPr>
      <w:r>
        <w:rPr>
          <w:rFonts w:ascii="Times New Roman" w:hAnsi="Times New Roman" w:cs="Times New Roman"/>
          <w:b/>
          <w:sz w:val="24"/>
          <w:szCs w:val="20"/>
        </w:rPr>
        <w:t>Background:</w:t>
      </w:r>
      <w:r>
        <w:rPr>
          <w:rFonts w:ascii="Times New Roman" w:hAnsi="Times New Roman" w:cs="Times New Roman"/>
          <w:sz w:val="24"/>
          <w:szCs w:val="20"/>
        </w:rPr>
        <w:t xml:space="preserve"> Traditionally, children are thought to have low-risk for development of venous thromboembolism (VTE) with a rate of 0.07-0.14 per 10,000 children. However, in hospitalized children, the rate is increased to greater than 58 per 10,000 admissions. Timely diagnosis, treatment, and optimal prophylaxis for VTE in children are important to avoid associated long-term complications such as prolonged hospitalization and post-thrombotic syndrome. Risk factors for the development of VTE in pediatric patients include but are not limited to: mobility status, obesity, chronic medical conditions such as ulcerative colitis, and presence of central lines. As the initial step to standardize VTE prophylaxis across the pediatric units, a risk factor screening tool was created and implemented in the pediatric intensive care unit (PICU). The goal of this study is to assess physician compliance with the screening tool and evaluate the efficacy and safety of the prophylaxis measures.</w:t>
      </w:r>
    </w:p>
    <w:p w14:paraId="054D798E" w14:textId="77777777" w:rsidR="008E7FCD" w:rsidRDefault="008E7FCD" w:rsidP="008E7FCD">
      <w:pPr>
        <w:spacing w:after="0" w:line="240" w:lineRule="auto"/>
        <w:rPr>
          <w:rFonts w:ascii="Times New Roman" w:hAnsi="Times New Roman" w:cs="Times New Roman"/>
          <w:b/>
          <w:sz w:val="24"/>
          <w:szCs w:val="20"/>
        </w:rPr>
      </w:pPr>
    </w:p>
    <w:p w14:paraId="450EE1FA" w14:textId="42D1CA5F" w:rsidR="008E7FCD" w:rsidRDefault="008E7FCD" w:rsidP="008E7FCD">
      <w:pPr>
        <w:spacing w:after="0" w:line="240" w:lineRule="auto"/>
        <w:rPr>
          <w:rFonts w:ascii="Times New Roman" w:hAnsi="Times New Roman" w:cs="Times New Roman"/>
          <w:sz w:val="24"/>
          <w:szCs w:val="20"/>
        </w:rPr>
      </w:pPr>
      <w:r>
        <w:rPr>
          <w:rFonts w:ascii="Times New Roman" w:hAnsi="Times New Roman" w:cs="Times New Roman"/>
          <w:b/>
          <w:sz w:val="24"/>
          <w:szCs w:val="20"/>
        </w:rPr>
        <w:t>Objective:</w:t>
      </w:r>
      <w:r>
        <w:rPr>
          <w:rFonts w:ascii="Times New Roman" w:hAnsi="Times New Roman" w:cs="Times New Roman"/>
          <w:sz w:val="24"/>
          <w:szCs w:val="20"/>
        </w:rPr>
        <w:t xml:space="preserve"> The primary outcome is rate of compliance with the screening tool in a pediatric population greater than 12 years old. Secondary outcomes include incidence of prophylaxis-related adverse events and rates of VTE. </w:t>
      </w:r>
    </w:p>
    <w:p w14:paraId="230F1BCA" w14:textId="77777777" w:rsidR="008E7FCD" w:rsidRDefault="008E7FCD" w:rsidP="008E7FCD">
      <w:pPr>
        <w:spacing w:after="0" w:line="240" w:lineRule="auto"/>
        <w:rPr>
          <w:rFonts w:ascii="Times New Roman" w:hAnsi="Times New Roman" w:cs="Times New Roman"/>
          <w:b/>
          <w:sz w:val="24"/>
          <w:szCs w:val="20"/>
        </w:rPr>
      </w:pPr>
    </w:p>
    <w:p w14:paraId="67001A65" w14:textId="083CE44D" w:rsidR="008E7FCD" w:rsidRDefault="008E7FCD" w:rsidP="008E7FCD">
      <w:pPr>
        <w:spacing w:after="0" w:line="240" w:lineRule="auto"/>
        <w:rPr>
          <w:rFonts w:ascii="Times New Roman" w:hAnsi="Times New Roman" w:cs="Times New Roman"/>
          <w:sz w:val="24"/>
          <w:szCs w:val="20"/>
        </w:rPr>
      </w:pPr>
      <w:r>
        <w:rPr>
          <w:rFonts w:ascii="Times New Roman" w:hAnsi="Times New Roman" w:cs="Times New Roman"/>
          <w:b/>
          <w:sz w:val="24"/>
          <w:szCs w:val="20"/>
        </w:rPr>
        <w:t>Methods:</w:t>
      </w:r>
      <w:r>
        <w:rPr>
          <w:rFonts w:ascii="Times New Roman" w:hAnsi="Times New Roman" w:cs="Times New Roman"/>
          <w:sz w:val="24"/>
          <w:szCs w:val="20"/>
        </w:rPr>
        <w:t xml:space="preserve"> This is a single-center chart-review to assess the newly implemented VTE screening tool in the PICU at Mount Sinai Hospital. Patients ages 12 and older admitted to the PICU after December 1, 2020 were identified. Data to be collected include demographics, VTE risk screening status and category, use of prophylaxis, enoxaparin dosing if applicable, bleeding events, and development of VTE or other adverse effects.  </w:t>
      </w:r>
    </w:p>
    <w:p w14:paraId="324D3C14" w14:textId="77777777" w:rsidR="008E7FCD" w:rsidRDefault="008E7FCD" w:rsidP="008E7FCD">
      <w:pPr>
        <w:spacing w:after="0" w:line="240" w:lineRule="auto"/>
        <w:rPr>
          <w:rFonts w:ascii="Times New Roman" w:hAnsi="Times New Roman" w:cs="Times New Roman"/>
          <w:b/>
          <w:sz w:val="24"/>
          <w:szCs w:val="20"/>
        </w:rPr>
      </w:pPr>
    </w:p>
    <w:p w14:paraId="0A018816" w14:textId="15A9E89B" w:rsidR="008E7FCD" w:rsidRDefault="008E7FCD" w:rsidP="008E7FCD">
      <w:pPr>
        <w:spacing w:after="0" w:line="240" w:lineRule="auto"/>
        <w:rPr>
          <w:rFonts w:ascii="Times New Roman" w:hAnsi="Times New Roman" w:cs="Times New Roman"/>
          <w:sz w:val="24"/>
          <w:szCs w:val="20"/>
        </w:rPr>
      </w:pPr>
      <w:r>
        <w:rPr>
          <w:rFonts w:ascii="Times New Roman" w:hAnsi="Times New Roman" w:cs="Times New Roman"/>
          <w:b/>
          <w:sz w:val="24"/>
          <w:szCs w:val="20"/>
        </w:rPr>
        <w:t>Results</w:t>
      </w:r>
      <w:r>
        <w:rPr>
          <w:rFonts w:ascii="Times New Roman" w:hAnsi="Times New Roman" w:cs="Times New Roman"/>
          <w:sz w:val="24"/>
          <w:szCs w:val="20"/>
        </w:rPr>
        <w:t>: Pending Institutional Review Board approval.</w:t>
      </w:r>
    </w:p>
    <w:p w14:paraId="123AEB82" w14:textId="77777777" w:rsidR="008E7FCD" w:rsidRDefault="008E7FCD" w:rsidP="008E7FCD">
      <w:pPr>
        <w:spacing w:after="0" w:line="240" w:lineRule="auto"/>
        <w:rPr>
          <w:rFonts w:ascii="Times New Roman" w:hAnsi="Times New Roman" w:cs="Times New Roman"/>
          <w:b/>
          <w:sz w:val="24"/>
          <w:szCs w:val="20"/>
        </w:rPr>
      </w:pPr>
    </w:p>
    <w:p w14:paraId="77CE5CFA" w14:textId="7969A18E" w:rsidR="008E7FCD" w:rsidRDefault="008E7FCD" w:rsidP="008E7FCD">
      <w:pPr>
        <w:spacing w:after="0" w:line="240" w:lineRule="auto"/>
        <w:rPr>
          <w:rFonts w:ascii="Times New Roman" w:hAnsi="Times New Roman" w:cs="Times New Roman"/>
          <w:sz w:val="24"/>
          <w:szCs w:val="20"/>
        </w:rPr>
      </w:pPr>
      <w:r>
        <w:rPr>
          <w:rFonts w:ascii="Times New Roman" w:hAnsi="Times New Roman" w:cs="Times New Roman"/>
          <w:b/>
          <w:sz w:val="24"/>
          <w:szCs w:val="20"/>
        </w:rPr>
        <w:t>Conclusions:</w:t>
      </w:r>
      <w:r>
        <w:rPr>
          <w:rFonts w:ascii="Times New Roman" w:hAnsi="Times New Roman" w:cs="Times New Roman"/>
          <w:sz w:val="24"/>
          <w:szCs w:val="20"/>
        </w:rPr>
        <w:t xml:space="preserve"> Pending.</w:t>
      </w:r>
    </w:p>
    <w:p w14:paraId="5BFEFDDD" w14:textId="77777777" w:rsidR="008E7FCD" w:rsidRDefault="008E7FCD" w:rsidP="008E7FCD">
      <w:pPr>
        <w:rPr>
          <w:rFonts w:ascii="Times New Roman" w:hAnsi="Times New Roman"/>
          <w:sz w:val="24"/>
          <w:szCs w:val="24"/>
        </w:rPr>
      </w:pPr>
    </w:p>
    <w:p w14:paraId="1A17E2B5" w14:textId="77777777" w:rsidR="008E7FCD" w:rsidRPr="008E7FCD" w:rsidRDefault="008E7FCD" w:rsidP="008E7FCD">
      <w:pPr>
        <w:spacing w:line="240" w:lineRule="auto"/>
        <w:rPr>
          <w:rFonts w:ascii="Times New Roman" w:hAnsi="Times New Roman" w:cs="Times New Roman"/>
          <w:shd w:val="clear" w:color="auto" w:fill="FFFFFF"/>
        </w:rPr>
      </w:pPr>
    </w:p>
    <w:p w14:paraId="62A5B643" w14:textId="77777777" w:rsidR="008E7FCD" w:rsidRPr="008E7FCD" w:rsidRDefault="008E7FCD" w:rsidP="008E7FCD">
      <w:pPr>
        <w:spacing w:line="360" w:lineRule="auto"/>
        <w:rPr>
          <w:rFonts w:ascii="Times New Roman" w:hAnsi="Times New Roman" w:cs="Times New Roman"/>
        </w:rPr>
      </w:pPr>
    </w:p>
    <w:p w14:paraId="16AE5C68" w14:textId="7B82504D" w:rsidR="0007657F" w:rsidRDefault="0007657F" w:rsidP="0007657F">
      <w:pPr>
        <w:rPr>
          <w:rFonts w:ascii="Times New Roman" w:hAnsi="Times New Roman" w:cs="Times New Roman"/>
        </w:rPr>
      </w:pPr>
    </w:p>
    <w:p w14:paraId="514F85B8" w14:textId="72C9C579" w:rsidR="008E7FCD" w:rsidRDefault="008E7FCD" w:rsidP="0007657F">
      <w:pPr>
        <w:rPr>
          <w:rFonts w:ascii="Times New Roman" w:hAnsi="Times New Roman" w:cs="Times New Roman"/>
        </w:rPr>
      </w:pPr>
    </w:p>
    <w:p w14:paraId="41A9A6CC" w14:textId="2470B30F" w:rsidR="008E7FCD" w:rsidRDefault="008E7FCD" w:rsidP="0007657F">
      <w:pPr>
        <w:rPr>
          <w:rFonts w:ascii="Times New Roman" w:hAnsi="Times New Roman" w:cs="Times New Roman"/>
        </w:rPr>
      </w:pPr>
    </w:p>
    <w:p w14:paraId="1291FCDA" w14:textId="059DE5BB" w:rsidR="008E7FCD" w:rsidRDefault="008E7FCD" w:rsidP="0007657F">
      <w:pPr>
        <w:rPr>
          <w:rFonts w:ascii="Times New Roman" w:hAnsi="Times New Roman" w:cs="Times New Roman"/>
        </w:rPr>
      </w:pPr>
    </w:p>
    <w:p w14:paraId="1582E2B2" w14:textId="593F7D23" w:rsidR="008E7FCD" w:rsidRDefault="008E7FCD" w:rsidP="0007657F">
      <w:pPr>
        <w:rPr>
          <w:rFonts w:ascii="Times New Roman" w:hAnsi="Times New Roman" w:cs="Times New Roman"/>
        </w:rPr>
      </w:pPr>
    </w:p>
    <w:p w14:paraId="73B08393" w14:textId="55B492C4" w:rsidR="008E7FCD" w:rsidRDefault="008E7FCD" w:rsidP="0007657F">
      <w:pPr>
        <w:rPr>
          <w:rFonts w:ascii="Times New Roman" w:hAnsi="Times New Roman" w:cs="Times New Roman"/>
        </w:rPr>
      </w:pPr>
    </w:p>
    <w:p w14:paraId="0B6F467E" w14:textId="46F008B8" w:rsidR="008E7FCD" w:rsidRDefault="008E7FCD" w:rsidP="0007657F">
      <w:pPr>
        <w:rPr>
          <w:rFonts w:ascii="Times New Roman" w:hAnsi="Times New Roman" w:cs="Times New Roman"/>
        </w:rPr>
      </w:pPr>
    </w:p>
    <w:p w14:paraId="018B567C" w14:textId="59818C24" w:rsidR="008E7FCD" w:rsidRDefault="008E7FCD" w:rsidP="0007657F">
      <w:pPr>
        <w:rPr>
          <w:rFonts w:ascii="Times New Roman" w:hAnsi="Times New Roman" w:cs="Times New Roman"/>
        </w:rPr>
      </w:pPr>
    </w:p>
    <w:p w14:paraId="0704B7F3" w14:textId="77777777" w:rsidR="008E7FCD" w:rsidRDefault="008E7FCD" w:rsidP="008E7FC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EFFECT OF INTRAVENOUS VITAMIN C WITH OR WITHOUT HYDROCORTISONE AND THIAMINE ON OUTCOMES AMONG CRITICALLY ILL PATIENTS WITH COVID-19</w:t>
      </w:r>
    </w:p>
    <w:p w14:paraId="5B11A8C9" w14:textId="77777777" w:rsidR="008E7FCD" w:rsidRDefault="008E7FCD" w:rsidP="008E7FCD">
      <w:pPr>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Eldeeb F*</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Lee 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Devlin A</w:t>
      </w:r>
      <w:r>
        <w:rPr>
          <w:rFonts w:ascii="Times New Roman" w:eastAsia="Times New Roman" w:hAnsi="Times New Roman" w:cs="Times New Roman"/>
          <w:sz w:val="24"/>
          <w:szCs w:val="24"/>
        </w:rPr>
        <w:t xml:space="preserve"> </w:t>
      </w:r>
    </w:p>
    <w:p w14:paraId="4F851A1C" w14:textId="77777777" w:rsidR="008E7FCD" w:rsidRDefault="008E7FCD" w:rsidP="008E7FCD">
      <w:pPr>
        <w:rPr>
          <w:rFonts w:ascii="Times New Roman" w:eastAsia="Times New Roman" w:hAnsi="Times New Roman" w:cs="Times New Roman"/>
          <w:sz w:val="24"/>
          <w:szCs w:val="24"/>
        </w:rPr>
      </w:pPr>
      <w:r>
        <w:rPr>
          <w:rFonts w:ascii="Times New Roman" w:eastAsia="Times New Roman" w:hAnsi="Times New Roman" w:cs="Times New Roman"/>
          <w:sz w:val="24"/>
          <w:szCs w:val="24"/>
        </w:rPr>
        <w:t>Mount Sinai Beth Israel, 281 1st Avenue, New York, NY 10003</w:t>
      </w:r>
    </w:p>
    <w:p w14:paraId="40477E03" w14:textId="77777777" w:rsidR="008E7FCD" w:rsidRDefault="008E7FCD" w:rsidP="008E7FC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Background  </w:t>
      </w:r>
    </w:p>
    <w:p w14:paraId="11BA0AC4" w14:textId="77777777" w:rsidR="008E7FCD" w:rsidRDefault="008E7FCD" w:rsidP="008E7FC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Coronavirus Disease 2019 (COVID-19) caused by the severe acute respiratory syndrome coronavirus 2 (SARS-CoV-2) may result in severe complications including septic shock and acute respiratory distress syndrome (ARDS). Complications of COVID-19 are linked to an inflammatory response triggered by SARS-CoV-2 infection. Vitamin C, an antioxidant with anti-inflammatory properties, may be beneficial in COVID-19 treatment. Use of IV vitamin C, in combination with hydrocortisone and thiamine in severe sepsis and septic shock may improve end organ function and reduce mortality.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Administration of IV vitamin C to patients with ARDS may reduce mortality, ventilator and intensive care unit (ICU) days. Benefits of IV vitamin C in COVID-19 is currently unknown. This study evaluates IV vitamin C to treat COVID-19 complicated by septic shock.</w:t>
      </w:r>
    </w:p>
    <w:p w14:paraId="293BB43B" w14:textId="77777777" w:rsidR="008E7FCD" w:rsidRDefault="008E7FCD" w:rsidP="008E7FC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Objective </w:t>
      </w:r>
    </w:p>
    <w:p w14:paraId="727E09A8" w14:textId="77777777" w:rsidR="008E7FCD" w:rsidRDefault="008E7FCD" w:rsidP="008E7FC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whether IV vitamin C with or without thiamine and hydrocortisone, compared to standard of care, reduces morbidity and mortality in critically ill patients admitted to the ICU with septic shock and COVID-19.</w:t>
      </w:r>
    </w:p>
    <w:p w14:paraId="68456425" w14:textId="77777777" w:rsidR="008E7FCD" w:rsidRDefault="008E7FCD" w:rsidP="008E7FC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Methods </w:t>
      </w:r>
    </w:p>
    <w:p w14:paraId="491FD1DB" w14:textId="77777777" w:rsidR="008E7FCD" w:rsidRDefault="008E7FCD" w:rsidP="008E7FCD">
      <w:pPr>
        <w:spacing w:line="240" w:lineRule="auto"/>
        <w:ind w:right="-270"/>
        <w:rPr>
          <w:rFonts w:ascii="Times New Roman" w:eastAsia="Times New Roman" w:hAnsi="Times New Roman" w:cs="Times New Roman"/>
          <w:sz w:val="24"/>
          <w:szCs w:val="24"/>
        </w:rPr>
      </w:pPr>
      <w:bookmarkStart w:id="3" w:name="_gjdgxs"/>
      <w:bookmarkEnd w:id="3"/>
      <w:r>
        <w:rPr>
          <w:rFonts w:ascii="Times New Roman" w:eastAsia="Times New Roman" w:hAnsi="Times New Roman" w:cs="Times New Roman"/>
          <w:sz w:val="24"/>
          <w:szCs w:val="24"/>
        </w:rPr>
        <w:t>This is a single-center, retrospective chart review conducted at Mount Sinai Beth Israel from March 1st, 2020 to August 30th, 2020. The primary outcome is the percentage of expired patients within 28 days of treatment with IV vitamin C versus standard of care. Secondary outcomes include vasopressor duration, ICU and hospital length of stay (LOS), change in Sequential Organ Failure Assessment (SOFA) score and PaO2/FiO2 ratio.</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This study was approved by the Mount Sinai COVID-19 Protocol Review Committee and is under review by the institutional review board. </w:t>
      </w:r>
    </w:p>
    <w:p w14:paraId="64C2A668" w14:textId="77777777" w:rsidR="008E7FCD" w:rsidRDefault="008E7FCD" w:rsidP="008E7FC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Results:</w:t>
      </w:r>
      <w:r>
        <w:rPr>
          <w:rFonts w:ascii="Times New Roman" w:eastAsia="Times New Roman" w:hAnsi="Times New Roman" w:cs="Times New Roman"/>
          <w:sz w:val="24"/>
          <w:szCs w:val="24"/>
        </w:rPr>
        <w:t xml:space="preserve"> In progress. </w:t>
      </w:r>
    </w:p>
    <w:p w14:paraId="1A76DA8C" w14:textId="77777777" w:rsidR="008E7FCD" w:rsidRDefault="008E7FCD" w:rsidP="008E7FC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Conclusions: </w:t>
      </w:r>
      <w:r>
        <w:rPr>
          <w:rFonts w:ascii="Times New Roman" w:eastAsia="Times New Roman" w:hAnsi="Times New Roman" w:cs="Times New Roman"/>
          <w:sz w:val="24"/>
          <w:szCs w:val="24"/>
        </w:rPr>
        <w:t>In progress.</w:t>
      </w:r>
    </w:p>
    <w:p w14:paraId="59EA2AA7" w14:textId="5CAADC83" w:rsidR="008E7FCD" w:rsidRDefault="008E7FCD" w:rsidP="0007657F">
      <w:pPr>
        <w:rPr>
          <w:rFonts w:ascii="Times New Roman" w:hAnsi="Times New Roman" w:cs="Times New Roman"/>
        </w:rPr>
      </w:pPr>
    </w:p>
    <w:p w14:paraId="21DA7B83" w14:textId="55C115F9" w:rsidR="008E7FCD" w:rsidRDefault="008E7FCD" w:rsidP="0007657F">
      <w:pPr>
        <w:rPr>
          <w:rFonts w:ascii="Times New Roman" w:hAnsi="Times New Roman" w:cs="Times New Roman"/>
        </w:rPr>
      </w:pPr>
    </w:p>
    <w:p w14:paraId="6B74D2F0" w14:textId="7BCD2716" w:rsidR="008E7FCD" w:rsidRDefault="008E7FCD" w:rsidP="0007657F">
      <w:pPr>
        <w:rPr>
          <w:rFonts w:ascii="Times New Roman" w:hAnsi="Times New Roman" w:cs="Times New Roman"/>
        </w:rPr>
      </w:pPr>
    </w:p>
    <w:p w14:paraId="08617866" w14:textId="1E5488D8" w:rsidR="008E7FCD" w:rsidRDefault="008E7FCD" w:rsidP="0007657F">
      <w:pPr>
        <w:rPr>
          <w:rFonts w:ascii="Times New Roman" w:hAnsi="Times New Roman" w:cs="Times New Roman"/>
        </w:rPr>
      </w:pPr>
    </w:p>
    <w:p w14:paraId="2C128B41" w14:textId="5E750CB6" w:rsidR="008E7FCD" w:rsidRDefault="008E7FCD" w:rsidP="0007657F">
      <w:pPr>
        <w:rPr>
          <w:rFonts w:ascii="Times New Roman" w:hAnsi="Times New Roman" w:cs="Times New Roman"/>
        </w:rPr>
      </w:pPr>
    </w:p>
    <w:p w14:paraId="4B7582A0" w14:textId="76210C2A" w:rsidR="008E7FCD" w:rsidRDefault="008E7FCD" w:rsidP="0007657F">
      <w:pPr>
        <w:rPr>
          <w:rFonts w:ascii="Times New Roman" w:hAnsi="Times New Roman" w:cs="Times New Roman"/>
        </w:rPr>
      </w:pPr>
    </w:p>
    <w:p w14:paraId="6CDC9181" w14:textId="64C6F194" w:rsidR="008E7FCD" w:rsidRDefault="008E7FCD" w:rsidP="0007657F">
      <w:pPr>
        <w:rPr>
          <w:rFonts w:ascii="Times New Roman" w:hAnsi="Times New Roman" w:cs="Times New Roman"/>
        </w:rPr>
      </w:pPr>
    </w:p>
    <w:p w14:paraId="321709B0" w14:textId="77777777" w:rsidR="008E7FCD" w:rsidRPr="008E7FCD" w:rsidRDefault="008E7FCD" w:rsidP="008E7FCD">
      <w:pPr>
        <w:rPr>
          <w:rFonts w:ascii="Times New Roman" w:hAnsi="Times New Roman" w:cs="Times New Roman"/>
        </w:rPr>
      </w:pPr>
      <w:r w:rsidRPr="008E7FCD">
        <w:rPr>
          <w:rFonts w:ascii="Times New Roman" w:hAnsi="Times New Roman" w:cs="Times New Roman"/>
        </w:rPr>
        <w:lastRenderedPageBreak/>
        <w:t>IMPACT OF INFECTIOUS DISEASES PHARMACIST ON LENGTH OF STAY AND READMISSION FOR PATIENTS REQUIRING LONG-TERM ANTIBIOTICS</w:t>
      </w:r>
    </w:p>
    <w:p w14:paraId="38DB727D" w14:textId="77777777" w:rsidR="008E7FCD" w:rsidRPr="008E7FCD" w:rsidRDefault="008E7FCD" w:rsidP="008E7FCD">
      <w:pPr>
        <w:rPr>
          <w:rFonts w:ascii="Times New Roman" w:eastAsia="Times New Roman" w:hAnsi="Times New Roman" w:cs="Times New Roman"/>
          <w:u w:val="single"/>
        </w:rPr>
      </w:pPr>
      <w:r w:rsidRPr="008E7FCD">
        <w:rPr>
          <w:rFonts w:ascii="Times New Roman" w:eastAsia="Times New Roman" w:hAnsi="Times New Roman" w:cs="Times New Roman"/>
          <w:u w:val="single"/>
        </w:rPr>
        <w:t>Eskandrous J</w:t>
      </w:r>
      <w:r w:rsidRPr="008E7FCD">
        <w:rPr>
          <w:rFonts w:ascii="Times New Roman" w:eastAsia="Times New Roman" w:hAnsi="Times New Roman" w:cs="Times New Roman"/>
        </w:rPr>
        <w:t>*,</w:t>
      </w:r>
      <w:r w:rsidRPr="008E7FCD">
        <w:rPr>
          <w:rFonts w:ascii="Times New Roman" w:eastAsia="Times New Roman" w:hAnsi="Times New Roman" w:cs="Times New Roman"/>
          <w:u w:val="single"/>
        </w:rPr>
        <w:t>Sessa J</w:t>
      </w:r>
      <w:r w:rsidRPr="008E7FCD">
        <w:rPr>
          <w:rFonts w:ascii="Times New Roman" w:eastAsia="Times New Roman" w:hAnsi="Times New Roman" w:cs="Times New Roman"/>
        </w:rPr>
        <w:t xml:space="preserve">, </w:t>
      </w:r>
      <w:r w:rsidRPr="008E7FCD">
        <w:rPr>
          <w:rFonts w:ascii="Times New Roman" w:eastAsia="Times New Roman" w:hAnsi="Times New Roman" w:cs="Times New Roman"/>
          <w:u w:val="single"/>
        </w:rPr>
        <w:t>Avery L</w:t>
      </w:r>
    </w:p>
    <w:p w14:paraId="55C3FF2C" w14:textId="77777777" w:rsidR="008E7FCD" w:rsidRPr="008E7FCD" w:rsidRDefault="008E7FCD" w:rsidP="008E7FCD">
      <w:pPr>
        <w:rPr>
          <w:rFonts w:ascii="Times New Roman" w:eastAsia="Times New Roman" w:hAnsi="Times New Roman" w:cs="Times New Roman"/>
        </w:rPr>
      </w:pPr>
      <w:r w:rsidRPr="008E7FCD">
        <w:rPr>
          <w:rFonts w:ascii="Times New Roman" w:eastAsia="Times New Roman" w:hAnsi="Times New Roman" w:cs="Times New Roman"/>
        </w:rPr>
        <w:t>St. Joseph’s Hospital Health Center, 301 Prospect Ave, Syracuse, NY 13203</w:t>
      </w:r>
    </w:p>
    <w:p w14:paraId="5B212C0D" w14:textId="77777777" w:rsidR="008E7FCD" w:rsidRPr="008E7FCD" w:rsidRDefault="008E7FCD" w:rsidP="008E7FCD">
      <w:pPr>
        <w:rPr>
          <w:rFonts w:ascii="Times New Roman" w:eastAsia="Times New Roman" w:hAnsi="Times New Roman" w:cs="Times New Roman"/>
        </w:rPr>
      </w:pPr>
    </w:p>
    <w:p w14:paraId="22A3CC3C" w14:textId="77777777" w:rsidR="008E7FCD" w:rsidRPr="008E7FCD" w:rsidRDefault="008E7FCD" w:rsidP="008E7FCD">
      <w:pPr>
        <w:spacing w:line="240" w:lineRule="auto"/>
        <w:rPr>
          <w:rFonts w:ascii="Times New Roman" w:eastAsia="Times New Roman" w:hAnsi="Times New Roman" w:cs="Times New Roman"/>
          <w:i/>
        </w:rPr>
      </w:pPr>
      <w:r w:rsidRPr="008E7FCD">
        <w:rPr>
          <w:rFonts w:ascii="Times New Roman" w:eastAsia="Times New Roman" w:hAnsi="Times New Roman" w:cs="Times New Roman"/>
          <w:b/>
        </w:rPr>
        <w:t>Background:</w:t>
      </w:r>
      <w:r w:rsidRPr="008E7FCD">
        <w:rPr>
          <w:rFonts w:ascii="Times New Roman" w:eastAsia="Times New Roman" w:hAnsi="Times New Roman" w:cs="Times New Roman"/>
        </w:rPr>
        <w:t xml:space="preserve"> Outpatient parenteral antimicrobial therapy (OPAT) allows for the treatment of serious infections with intravenous (IV) antibiotics in the outpatient setting. Infectious disease (ID) practitioner review reduces hospital length of stay (LOS) and prevents readmission. </w:t>
      </w:r>
      <w:r w:rsidRPr="008E7FCD">
        <w:rPr>
          <w:rFonts w:ascii="Times New Roman" w:eastAsia="Times New Roman" w:hAnsi="Times New Roman" w:cs="Times New Roman"/>
          <w:highlight w:val="white"/>
        </w:rPr>
        <w:t>Pharmacist-involvement on an OPAT team has been proven to result in more narrow spectrum antimicrobial use and IV to oral (PO) conversions, while not delaying discharge.</w:t>
      </w:r>
    </w:p>
    <w:p w14:paraId="00DEE7A7" w14:textId="77777777" w:rsidR="008E7FCD" w:rsidRPr="008E7FCD" w:rsidRDefault="008E7FCD" w:rsidP="008E7FCD">
      <w:pPr>
        <w:spacing w:line="240" w:lineRule="auto"/>
        <w:rPr>
          <w:rFonts w:ascii="Times New Roman" w:eastAsia="Times New Roman" w:hAnsi="Times New Roman" w:cs="Times New Roman"/>
        </w:rPr>
      </w:pPr>
      <w:r w:rsidRPr="008E7FCD">
        <w:rPr>
          <w:rFonts w:ascii="Times New Roman" w:eastAsia="Times New Roman" w:hAnsi="Times New Roman" w:cs="Times New Roman"/>
          <w:b/>
        </w:rPr>
        <w:t>Objective</w:t>
      </w:r>
      <w:r w:rsidRPr="008E7FCD">
        <w:rPr>
          <w:rFonts w:ascii="Times New Roman" w:eastAsia="Times New Roman" w:hAnsi="Times New Roman" w:cs="Times New Roman"/>
        </w:rPr>
        <w:t xml:space="preserve">: To determine the impact of a pharmacist participation on an interdisciplinary OPAT team on LOS and readmission. </w:t>
      </w:r>
    </w:p>
    <w:p w14:paraId="02699A95" w14:textId="77777777" w:rsidR="008E7FCD" w:rsidRPr="008E7FCD" w:rsidRDefault="008E7FCD" w:rsidP="008E7FCD">
      <w:pPr>
        <w:spacing w:line="240" w:lineRule="auto"/>
        <w:rPr>
          <w:rFonts w:ascii="Times New Roman" w:eastAsia="Times New Roman" w:hAnsi="Times New Roman" w:cs="Times New Roman"/>
        </w:rPr>
      </w:pPr>
      <w:r w:rsidRPr="008E7FCD">
        <w:rPr>
          <w:rFonts w:ascii="Times New Roman" w:eastAsia="Times New Roman" w:hAnsi="Times New Roman" w:cs="Times New Roman"/>
          <w:b/>
        </w:rPr>
        <w:t xml:space="preserve">Methods: </w:t>
      </w:r>
      <w:r w:rsidRPr="008E7FCD">
        <w:rPr>
          <w:rFonts w:ascii="Times New Roman" w:eastAsia="Times New Roman" w:hAnsi="Times New Roman" w:cs="Times New Roman"/>
        </w:rPr>
        <w:t xml:space="preserve">IRB granted exempt status for this single-center, retrospective, pre-intervention study. Data was obtained via Antibiotic Plan and Follow-up report. Patients </w:t>
      </w:r>
      <w:r w:rsidRPr="008E7FCD">
        <w:rPr>
          <w:rFonts w:ascii="Times New Roman" w:eastAsia="Times New Roman" w:hAnsi="Times New Roman" w:cs="Times New Roman"/>
          <w:u w:val="single"/>
        </w:rPr>
        <w:t>&gt;</w:t>
      </w:r>
      <w:r w:rsidRPr="008E7FCD">
        <w:rPr>
          <w:rFonts w:ascii="Times New Roman" w:eastAsia="Times New Roman" w:hAnsi="Times New Roman" w:cs="Times New Roman"/>
        </w:rPr>
        <w:t xml:space="preserve">18 years who were discharged on at least 1 week of antibiotics were included. Data collected included demographics, diagnosis, severity-of-illness score, antimicrobial selection and outcomes both prior to and during  pharmacist’s intervention. </w:t>
      </w:r>
      <w:r w:rsidRPr="008E7FCD">
        <w:rPr>
          <w:rFonts w:ascii="Times New Roman" w:eastAsia="Times New Roman" w:hAnsi="Times New Roman" w:cs="Times New Roman"/>
          <w:color w:val="000000"/>
        </w:rPr>
        <w:t xml:space="preserve">The </w:t>
      </w:r>
      <w:r w:rsidRPr="008E7FCD">
        <w:rPr>
          <w:rFonts w:ascii="Times New Roman" w:eastAsia="Times New Roman" w:hAnsi="Times New Roman" w:cs="Times New Roman"/>
        </w:rPr>
        <w:t xml:space="preserve">primary outcome was LOS. Secondary outcomes were 30-day all-cause and infection-related readmission. </w:t>
      </w:r>
    </w:p>
    <w:p w14:paraId="285C005A" w14:textId="77777777" w:rsidR="008E7FCD" w:rsidRPr="008E7FCD" w:rsidRDefault="008E7FCD" w:rsidP="008E7FCD">
      <w:pPr>
        <w:spacing w:line="240" w:lineRule="auto"/>
        <w:rPr>
          <w:rFonts w:ascii="Times New Roman" w:eastAsia="Times New Roman" w:hAnsi="Times New Roman" w:cs="Times New Roman"/>
        </w:rPr>
      </w:pPr>
      <w:r w:rsidRPr="008E7FCD">
        <w:rPr>
          <w:rFonts w:ascii="Times New Roman" w:eastAsia="Times New Roman" w:hAnsi="Times New Roman" w:cs="Times New Roman"/>
          <w:b/>
        </w:rPr>
        <w:t xml:space="preserve">Results: </w:t>
      </w:r>
      <w:r w:rsidRPr="008E7FCD">
        <w:rPr>
          <w:rFonts w:ascii="Times New Roman" w:eastAsia="Times New Roman" w:hAnsi="Times New Roman" w:cs="Times New Roman"/>
        </w:rPr>
        <w:t>A total of 86 and 55 patients were included in the pre and intervention periods. Median LOS was 7 days in both the pre and intervention groups. 30-day readmission occurred in 23% and 18% in the pre and intervention groups. Infection-related 30-day readmission occurred in 9% and 11% in the pre and intervention groups. Avoidance of IV therapy at discharge occurred in 14% of patients in both groups. The most frequent infection-related readmission reasons were lack of source control and sepsis secondary to an unrelated infection for both groups.</w:t>
      </w:r>
    </w:p>
    <w:p w14:paraId="6C8640D6" w14:textId="77777777" w:rsidR="008E7FCD" w:rsidRPr="008E7FCD" w:rsidRDefault="008E7FCD" w:rsidP="008E7FCD">
      <w:pPr>
        <w:spacing w:line="240" w:lineRule="auto"/>
        <w:rPr>
          <w:rFonts w:ascii="Times New Roman" w:eastAsia="Times New Roman" w:hAnsi="Times New Roman" w:cs="Times New Roman"/>
        </w:rPr>
      </w:pPr>
      <w:bookmarkStart w:id="4" w:name="_heading=h.gjdgxs"/>
      <w:bookmarkEnd w:id="4"/>
      <w:r w:rsidRPr="008E7FCD">
        <w:rPr>
          <w:rFonts w:ascii="Times New Roman" w:eastAsia="Times New Roman" w:hAnsi="Times New Roman" w:cs="Times New Roman"/>
          <w:b/>
        </w:rPr>
        <w:t xml:space="preserve">Conclusions: </w:t>
      </w:r>
      <w:r w:rsidRPr="008E7FCD">
        <w:rPr>
          <w:rFonts w:ascii="Times New Roman" w:eastAsia="Times New Roman" w:hAnsi="Times New Roman" w:cs="Times New Roman"/>
        </w:rPr>
        <w:t xml:space="preserve">The addition of a pharmacist to an interdisciplinary OPAT team led to a trend toward decreased readmission. </w:t>
      </w:r>
    </w:p>
    <w:p w14:paraId="3F2EB460" w14:textId="74CA5021" w:rsidR="008E7FCD" w:rsidRDefault="008E7FCD" w:rsidP="0007657F">
      <w:pPr>
        <w:rPr>
          <w:rFonts w:ascii="Times New Roman" w:hAnsi="Times New Roman" w:cs="Times New Roman"/>
        </w:rPr>
      </w:pPr>
    </w:p>
    <w:p w14:paraId="1070FE99" w14:textId="59E3E9C1" w:rsidR="008E7FCD" w:rsidRDefault="008E7FCD" w:rsidP="0007657F">
      <w:pPr>
        <w:rPr>
          <w:rFonts w:ascii="Times New Roman" w:hAnsi="Times New Roman" w:cs="Times New Roman"/>
        </w:rPr>
      </w:pPr>
    </w:p>
    <w:p w14:paraId="178B7778" w14:textId="5C72EEB7" w:rsidR="008E7FCD" w:rsidRDefault="008E7FCD" w:rsidP="0007657F">
      <w:pPr>
        <w:rPr>
          <w:rFonts w:ascii="Times New Roman" w:hAnsi="Times New Roman" w:cs="Times New Roman"/>
        </w:rPr>
      </w:pPr>
    </w:p>
    <w:p w14:paraId="403CBE31" w14:textId="7559443A" w:rsidR="008E7FCD" w:rsidRDefault="008E7FCD" w:rsidP="0007657F">
      <w:pPr>
        <w:rPr>
          <w:rFonts w:ascii="Times New Roman" w:hAnsi="Times New Roman" w:cs="Times New Roman"/>
        </w:rPr>
      </w:pPr>
    </w:p>
    <w:p w14:paraId="7C9B4A85" w14:textId="6C86CE6B" w:rsidR="008E7FCD" w:rsidRDefault="008E7FCD" w:rsidP="0007657F">
      <w:pPr>
        <w:rPr>
          <w:rFonts w:ascii="Times New Roman" w:hAnsi="Times New Roman" w:cs="Times New Roman"/>
        </w:rPr>
      </w:pPr>
    </w:p>
    <w:p w14:paraId="0AA9D3B0" w14:textId="302AC14F" w:rsidR="008E7FCD" w:rsidRDefault="008E7FCD" w:rsidP="0007657F">
      <w:pPr>
        <w:rPr>
          <w:rFonts w:ascii="Times New Roman" w:hAnsi="Times New Roman" w:cs="Times New Roman"/>
        </w:rPr>
      </w:pPr>
    </w:p>
    <w:p w14:paraId="7346BA47" w14:textId="7B653A0A" w:rsidR="008E7FCD" w:rsidRDefault="008E7FCD" w:rsidP="0007657F">
      <w:pPr>
        <w:rPr>
          <w:rFonts w:ascii="Times New Roman" w:hAnsi="Times New Roman" w:cs="Times New Roman"/>
        </w:rPr>
      </w:pPr>
    </w:p>
    <w:p w14:paraId="75708266" w14:textId="78476B21" w:rsidR="008E7FCD" w:rsidRDefault="008E7FCD" w:rsidP="0007657F">
      <w:pPr>
        <w:rPr>
          <w:rFonts w:ascii="Times New Roman" w:hAnsi="Times New Roman" w:cs="Times New Roman"/>
        </w:rPr>
      </w:pPr>
    </w:p>
    <w:p w14:paraId="66E5B65D" w14:textId="159204D9" w:rsidR="008E7FCD" w:rsidRDefault="008E7FCD" w:rsidP="0007657F">
      <w:pPr>
        <w:rPr>
          <w:rFonts w:ascii="Times New Roman" w:hAnsi="Times New Roman" w:cs="Times New Roman"/>
        </w:rPr>
      </w:pPr>
    </w:p>
    <w:p w14:paraId="1DD0C45D" w14:textId="6D09DADB" w:rsidR="008E7FCD" w:rsidRDefault="008E7FCD" w:rsidP="0007657F">
      <w:pPr>
        <w:rPr>
          <w:rFonts w:ascii="Times New Roman" w:hAnsi="Times New Roman" w:cs="Times New Roman"/>
        </w:rPr>
      </w:pPr>
    </w:p>
    <w:p w14:paraId="2E1DF0CE" w14:textId="4DABE261" w:rsidR="008E7FCD" w:rsidRDefault="008E7FCD" w:rsidP="0007657F">
      <w:pPr>
        <w:rPr>
          <w:rFonts w:ascii="Times New Roman" w:hAnsi="Times New Roman" w:cs="Times New Roman"/>
        </w:rPr>
      </w:pPr>
    </w:p>
    <w:p w14:paraId="37010BDA" w14:textId="77777777" w:rsidR="008E7FCD" w:rsidRDefault="008E7FCD" w:rsidP="008E7FCD">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ASSESSMENT OF PRESCRIBING ADHERENCE IN ACCORDANCE WITH AN ACUTE CARE HOSPITAL SYSTEM’S ANTIMICROBIAL GUIDE</w:t>
      </w:r>
    </w:p>
    <w:p w14:paraId="3E306B9C" w14:textId="77777777" w:rsidR="008E7FCD" w:rsidRDefault="008E7FCD" w:rsidP="008E7FCD">
      <w:pPr>
        <w:rPr>
          <w:rFonts w:ascii="Times New Roman" w:eastAsia="Times New Roman" w:hAnsi="Times New Roman" w:cs="Times New Roman"/>
        </w:rPr>
      </w:pPr>
      <w:r>
        <w:rPr>
          <w:rFonts w:ascii="Times New Roman" w:eastAsia="Times New Roman" w:hAnsi="Times New Roman" w:cs="Times New Roman"/>
          <w:color w:val="000000"/>
        </w:rPr>
        <w:t> </w:t>
      </w:r>
    </w:p>
    <w:p w14:paraId="629D091A" w14:textId="77777777" w:rsidR="008E7FCD" w:rsidRDefault="008E7FCD" w:rsidP="008E7FCD">
      <w:pPr>
        <w:spacing w:after="240"/>
        <w:rPr>
          <w:rFonts w:ascii="Times New Roman" w:eastAsia="Times New Roman" w:hAnsi="Times New Roman" w:cs="Times New Roman"/>
          <w:u w:val="single"/>
          <w:lang w:val="pt-BR"/>
        </w:rPr>
      </w:pPr>
      <w:r>
        <w:rPr>
          <w:rFonts w:ascii="Times New Roman" w:eastAsia="Times New Roman" w:hAnsi="Times New Roman" w:cs="Times New Roman"/>
          <w:u w:val="single"/>
          <w:lang w:val="pt-BR"/>
        </w:rPr>
        <w:t>Esposito, J</w:t>
      </w:r>
      <w:r>
        <w:rPr>
          <w:rFonts w:ascii="Times New Roman" w:eastAsia="Times New Roman" w:hAnsi="Times New Roman" w:cs="Times New Roman"/>
          <w:lang w:val="pt-BR"/>
        </w:rPr>
        <w:t xml:space="preserve">*,  </w:t>
      </w:r>
      <w:r>
        <w:rPr>
          <w:rFonts w:ascii="Times New Roman" w:eastAsia="Times New Roman" w:hAnsi="Times New Roman" w:cs="Times New Roman"/>
          <w:u w:val="single"/>
          <w:lang w:val="pt-BR"/>
        </w:rPr>
        <w:t>Geisler, R</w:t>
      </w:r>
      <w:r>
        <w:rPr>
          <w:rFonts w:ascii="Times New Roman" w:eastAsia="Times New Roman" w:hAnsi="Times New Roman" w:cs="Times New Roman"/>
          <w:lang w:val="pt-BR"/>
        </w:rPr>
        <w:t xml:space="preserve">, </w:t>
      </w:r>
      <w:r>
        <w:rPr>
          <w:rFonts w:ascii="Times New Roman" w:eastAsia="Times New Roman" w:hAnsi="Times New Roman" w:cs="Times New Roman"/>
          <w:u w:val="single"/>
          <w:lang w:val="pt-BR"/>
        </w:rPr>
        <w:t>Jarka C</w:t>
      </w:r>
      <w:r>
        <w:rPr>
          <w:rFonts w:ascii="Times New Roman" w:eastAsia="Times New Roman" w:hAnsi="Times New Roman" w:cs="Times New Roman"/>
          <w:lang w:val="pt-BR"/>
        </w:rPr>
        <w:t xml:space="preserve">, </w:t>
      </w:r>
      <w:r>
        <w:rPr>
          <w:rFonts w:ascii="Times New Roman" w:eastAsia="Times New Roman" w:hAnsi="Times New Roman" w:cs="Times New Roman"/>
          <w:u w:val="single"/>
          <w:lang w:val="pt-BR"/>
        </w:rPr>
        <w:t>Daigler B</w:t>
      </w:r>
    </w:p>
    <w:p w14:paraId="3D730496" w14:textId="77777777" w:rsidR="008E7FCD" w:rsidRDefault="008E7FCD" w:rsidP="008E7FCD">
      <w:pPr>
        <w:spacing w:after="240"/>
        <w:rPr>
          <w:rFonts w:ascii="Times New Roman" w:eastAsia="Times New Roman" w:hAnsi="Times New Roman" w:cs="Times New Roman"/>
        </w:rPr>
      </w:pPr>
      <w:r>
        <w:rPr>
          <w:rFonts w:ascii="Times New Roman" w:eastAsia="Times New Roman" w:hAnsi="Times New Roman" w:cs="Times New Roman"/>
        </w:rPr>
        <w:t>Mount Saint Mary’s Hospital, 5300 Military Road, Lewiston, NY 14092</w:t>
      </w:r>
    </w:p>
    <w:p w14:paraId="0083B5AE" w14:textId="77777777" w:rsidR="008E7FCD" w:rsidRDefault="008E7FCD" w:rsidP="008E7FCD">
      <w:pPr>
        <w:spacing w:after="240"/>
        <w:rPr>
          <w:rFonts w:ascii="Times New Roman" w:eastAsia="Times New Roman" w:hAnsi="Times New Roman" w:cs="Times New Roman"/>
        </w:rPr>
      </w:pPr>
      <w:r>
        <w:rPr>
          <w:rFonts w:ascii="Times New Roman" w:eastAsia="Times New Roman" w:hAnsi="Times New Roman" w:cs="Times New Roman"/>
          <w:b/>
          <w:bCs/>
          <w:color w:val="212121"/>
        </w:rPr>
        <w:t>Purpose:</w:t>
      </w:r>
      <w:r>
        <w:rPr>
          <w:rFonts w:ascii="Times New Roman" w:eastAsia="Times New Roman" w:hAnsi="Times New Roman" w:cs="Times New Roman"/>
          <w:color w:val="212121"/>
        </w:rPr>
        <w:t xml:space="preserve"> In the Catholic Health System (CHS), an antimicrobial guideline has been published for use in its five acute-care sites, however prescribing adherence has never been assessed. This study aimed to improve prescribing habits and lessen the occurrence of </w:t>
      </w:r>
      <w:r>
        <w:rPr>
          <w:rFonts w:ascii="Times New Roman" w:eastAsia="Times New Roman" w:hAnsi="Times New Roman" w:cs="Times New Roman"/>
          <w:color w:val="212121"/>
          <w:shd w:val="clear" w:color="auto" w:fill="FFFFFF"/>
        </w:rPr>
        <w:t>adverse events and the development of bacterial resistance.</w:t>
      </w:r>
    </w:p>
    <w:p w14:paraId="57DD76C0" w14:textId="77777777" w:rsidR="008E7FCD" w:rsidRDefault="008E7FCD" w:rsidP="008E7FCD">
      <w:pPr>
        <w:rPr>
          <w:rFonts w:ascii="Times New Roman" w:eastAsia="Times New Roman" w:hAnsi="Times New Roman" w:cs="Times New Roman"/>
        </w:rPr>
      </w:pPr>
      <w:r>
        <w:rPr>
          <w:rFonts w:ascii="Times New Roman" w:eastAsia="Times New Roman" w:hAnsi="Times New Roman" w:cs="Times New Roman"/>
          <w:b/>
          <w:bCs/>
        </w:rPr>
        <w:t xml:space="preserve">Objective: </w:t>
      </w:r>
      <w:r>
        <w:rPr>
          <w:rFonts w:ascii="Times New Roman" w:eastAsia="Times New Roman" w:hAnsi="Times New Roman" w:cs="Times New Roman"/>
          <w:color w:val="000000"/>
        </w:rPr>
        <w:t xml:space="preserve">The primary objective of this study was to see an improvement of prescriber compliance to the antimicrobial guideline following pharmacy driven education for the empiric therapy of skin/skin structure, urinary tract, and respiratory infections. Secondary objectives included the assessment of antibiotic allergies, appropriateness of empiric therapy based on allergy history, and percentage of cultures being taken and their activity in-vitro to the empiric therapy. </w:t>
      </w:r>
    </w:p>
    <w:p w14:paraId="662199D6" w14:textId="77777777" w:rsidR="008E7FCD" w:rsidRDefault="008E7FCD" w:rsidP="008E7FCD">
      <w:pPr>
        <w:rPr>
          <w:rFonts w:ascii="Times New Roman" w:eastAsia="Times New Roman" w:hAnsi="Times New Roman" w:cs="Times New Roman"/>
        </w:rPr>
      </w:pPr>
    </w:p>
    <w:p w14:paraId="3217963D" w14:textId="77777777" w:rsidR="008E7FCD" w:rsidRDefault="008E7FCD" w:rsidP="008E7FCD">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Methods:</w:t>
      </w:r>
      <w:r>
        <w:rPr>
          <w:rFonts w:ascii="Times New Roman" w:eastAsia="Times New Roman" w:hAnsi="Times New Roman" w:cs="Times New Roman"/>
          <w:color w:val="000000"/>
        </w:rPr>
        <w:t xml:space="preserve"> This was a retrospective, pre-post interventional study to assess prescriber compliance to the newly updated CHS antimicrobial initiative within a single hospitalist group at Mercy Hospital.  Inclusion criteria encompassed adults who received an antibiotic empirically for skin/skin structure, urinary tract, or respiratory infection.</w:t>
      </w:r>
    </w:p>
    <w:p w14:paraId="4DEB606D" w14:textId="77777777" w:rsidR="008E7FCD" w:rsidRDefault="008E7FCD" w:rsidP="008E7FCD">
      <w:pPr>
        <w:rPr>
          <w:rFonts w:ascii="Times New Roman" w:eastAsia="Times New Roman" w:hAnsi="Times New Roman" w:cs="Times New Roman"/>
        </w:rPr>
      </w:pPr>
    </w:p>
    <w:p w14:paraId="59DF0D43" w14:textId="77777777" w:rsidR="008E7FCD" w:rsidRDefault="008E7FCD" w:rsidP="008E7FCD">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Results: </w:t>
      </w:r>
      <w:r>
        <w:rPr>
          <w:rFonts w:ascii="Times New Roman" w:eastAsia="Times New Roman" w:hAnsi="Times New Roman" w:cs="Times New Roman"/>
          <w:color w:val="000000"/>
        </w:rPr>
        <w:t>There were 56 patients included in pre-intervention group and 53 patients in the post-intervention group. There was not a statistically significant increase in the prescriber adherence to the antimicrobial guide (60.7% to 64.2%, p = 0.863126). There was a statistically significant increase in reported undocumented antibiotic allergies (22.2% to 50%, p=0.0416) and reduction in documented moderate/minor reactions (58.3% to 25% p=0.0251).</w:t>
      </w:r>
    </w:p>
    <w:p w14:paraId="5D0CB11C" w14:textId="77777777" w:rsidR="008E7FCD" w:rsidRDefault="008E7FCD" w:rsidP="008E7FCD">
      <w:pPr>
        <w:rPr>
          <w:rFonts w:ascii="Times New Roman" w:eastAsia="Times New Roman" w:hAnsi="Times New Roman" w:cs="Times New Roman"/>
          <w:color w:val="000000"/>
        </w:rPr>
      </w:pPr>
    </w:p>
    <w:p w14:paraId="4AF35CFB" w14:textId="77777777" w:rsidR="008E7FCD" w:rsidRDefault="008E7FCD" w:rsidP="008E7FCD">
      <w:pPr>
        <w:rPr>
          <w:rFonts w:ascii="Times New Roman" w:eastAsia="Times New Roman" w:hAnsi="Times New Roman" w:cs="Times New Roman"/>
        </w:rPr>
      </w:pPr>
      <w:r>
        <w:rPr>
          <w:rFonts w:ascii="Times New Roman" w:eastAsia="Times New Roman" w:hAnsi="Times New Roman" w:cs="Times New Roman"/>
          <w:b/>
          <w:bCs/>
          <w:color w:val="000000"/>
        </w:rPr>
        <w:t>Conclusion</w:t>
      </w:r>
      <w:r>
        <w:rPr>
          <w:rFonts w:ascii="Times New Roman" w:eastAsia="Times New Roman" w:hAnsi="Times New Roman" w:cs="Times New Roman"/>
          <w:color w:val="000000"/>
        </w:rPr>
        <w:t xml:space="preserve">: The implementation of a pharmacy-driven antimicrobial stewardship education initiative can lead to increased compliance to an acute care system’s antimicrobial guide potentially leading to reductions in bacterial resistance rates, </w:t>
      </w:r>
      <w:r>
        <w:rPr>
          <w:rFonts w:ascii="Times New Roman" w:eastAsia="Times New Roman" w:hAnsi="Times New Roman" w:cs="Times New Roman"/>
        </w:rPr>
        <w:t>drug costs and adverse drug reactions.</w:t>
      </w:r>
    </w:p>
    <w:p w14:paraId="56189162" w14:textId="12C63E9C" w:rsidR="008E7FCD" w:rsidRDefault="008E7FCD" w:rsidP="0007657F">
      <w:pPr>
        <w:rPr>
          <w:rFonts w:ascii="Times New Roman" w:hAnsi="Times New Roman" w:cs="Times New Roman"/>
        </w:rPr>
      </w:pPr>
    </w:p>
    <w:p w14:paraId="5A5C9222" w14:textId="2C5EFA52" w:rsidR="00BD0302" w:rsidRDefault="00BD0302" w:rsidP="0007657F">
      <w:pPr>
        <w:rPr>
          <w:rFonts w:ascii="Times New Roman" w:hAnsi="Times New Roman" w:cs="Times New Roman"/>
        </w:rPr>
      </w:pPr>
    </w:p>
    <w:p w14:paraId="52B5D8B4" w14:textId="25476515" w:rsidR="00BD0302" w:rsidRDefault="00BD0302" w:rsidP="0007657F">
      <w:pPr>
        <w:rPr>
          <w:rFonts w:ascii="Times New Roman" w:hAnsi="Times New Roman" w:cs="Times New Roman"/>
        </w:rPr>
      </w:pPr>
    </w:p>
    <w:p w14:paraId="3EFD9B7D" w14:textId="2242E17B" w:rsidR="00BD0302" w:rsidRDefault="00BD0302" w:rsidP="0007657F">
      <w:pPr>
        <w:rPr>
          <w:rFonts w:ascii="Times New Roman" w:hAnsi="Times New Roman" w:cs="Times New Roman"/>
        </w:rPr>
      </w:pPr>
    </w:p>
    <w:p w14:paraId="7AD0E1B4" w14:textId="3A6FB52C" w:rsidR="00BD0302" w:rsidRDefault="00BD0302" w:rsidP="0007657F">
      <w:pPr>
        <w:rPr>
          <w:rFonts w:ascii="Times New Roman" w:hAnsi="Times New Roman" w:cs="Times New Roman"/>
        </w:rPr>
      </w:pPr>
    </w:p>
    <w:p w14:paraId="6A861958" w14:textId="3587464C" w:rsidR="00BD0302" w:rsidRDefault="00BD0302" w:rsidP="0007657F">
      <w:pPr>
        <w:rPr>
          <w:rFonts w:ascii="Times New Roman" w:hAnsi="Times New Roman" w:cs="Times New Roman"/>
        </w:rPr>
      </w:pPr>
    </w:p>
    <w:p w14:paraId="5498A880" w14:textId="7F851A27" w:rsidR="00BD0302" w:rsidRDefault="00BD0302" w:rsidP="0007657F">
      <w:pPr>
        <w:rPr>
          <w:rFonts w:ascii="Times New Roman" w:hAnsi="Times New Roman" w:cs="Times New Roman"/>
        </w:rPr>
      </w:pPr>
    </w:p>
    <w:p w14:paraId="4B16D31B" w14:textId="77777777" w:rsidR="00066D0C" w:rsidRDefault="00066D0C" w:rsidP="00066D0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EMPIRIC DOSE-ADJUSTED ENOXAPARIN AND ANTI-XA MONITORING IN OLDER HOSPITALIZED ADULTS, A QUALITY ASSURANCE REVIEW</w:t>
      </w:r>
    </w:p>
    <w:p w14:paraId="45AD9976" w14:textId="77777777" w:rsidR="00066D0C" w:rsidRDefault="00066D0C" w:rsidP="00066D0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Farzadeh 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Caroli 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Ulen K</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Noviasky J</w:t>
      </w:r>
    </w:p>
    <w:p w14:paraId="2FE517DD" w14:textId="77777777" w:rsidR="00066D0C" w:rsidRDefault="00066D0C" w:rsidP="00066D0C">
      <w:pPr>
        <w:rPr>
          <w:rFonts w:ascii="Times New Roman" w:eastAsia="Times New Roman" w:hAnsi="Times New Roman" w:cs="Times New Roman"/>
          <w:sz w:val="24"/>
          <w:szCs w:val="24"/>
        </w:rPr>
      </w:pPr>
      <w:r>
        <w:rPr>
          <w:rFonts w:ascii="Times New Roman" w:eastAsia="Times New Roman" w:hAnsi="Times New Roman" w:cs="Times New Roman"/>
          <w:sz w:val="24"/>
          <w:szCs w:val="24"/>
        </w:rPr>
        <w:t>Upstate University Hospital, Syracuse, New York</w:t>
      </w:r>
    </w:p>
    <w:p w14:paraId="02D14484" w14:textId="77777777" w:rsidR="00066D0C" w:rsidRDefault="00066D0C" w:rsidP="00066D0C">
      <w:pPr>
        <w:rPr>
          <w:rFonts w:ascii="Times New Roman" w:eastAsia="Times New Roman" w:hAnsi="Times New Roman" w:cs="Times New Roman"/>
          <w:sz w:val="24"/>
          <w:szCs w:val="24"/>
        </w:rPr>
      </w:pPr>
      <w:r>
        <w:rPr>
          <w:rFonts w:ascii="Times New Roman" w:eastAsia="Times New Roman" w:hAnsi="Times New Roman" w:cs="Times New Roman"/>
          <w:sz w:val="24"/>
          <w:szCs w:val="24"/>
        </w:rPr>
        <w:t>750 E Adams St, Syracuse, NY 13210</w:t>
      </w:r>
    </w:p>
    <w:p w14:paraId="313E3D84" w14:textId="77777777" w:rsidR="00066D0C" w:rsidRDefault="00066D0C" w:rsidP="00066D0C">
      <w:pPr>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rPr>
        <w:t>Background: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 xml:space="preserve">At Upstate University Hospital’s Community Campus, therapeutic enoxaparin doses are adjusted by pharmacists per interchange procedure: 1 mg/kg every 12 hours is adjusted to 0.75 mg/kg every 12 hours in patients aged ≥75 years with CrCl &gt;30 mL/min. While this dose reduction suggested to treat ST-elevation myocardial infarctions, use for other therapeutic indications is lacking. </w:t>
      </w:r>
      <w:r>
        <w:rPr>
          <w:rFonts w:ascii="Times New Roman" w:eastAsia="Times New Roman" w:hAnsi="Times New Roman" w:cs="Times New Roman"/>
          <w:sz w:val="24"/>
          <w:szCs w:val="24"/>
        </w:rPr>
        <w:t xml:space="preserve">In Leri’s study, older adults received enoxaparin standard (mean: 0.84 mg/kg) vs. adjusted body weight (mean: 0.96 mg/kg) dose. The standard dosing group had a greater mean and incidence of supratherapeutic anti-Xa levels (1.28 IU/ml vs. 0.98 IU/ml, P = 0.001; 28% vs. 0% &gt;1.5 IU/mL, P = 0.001). </w:t>
      </w:r>
    </w:p>
    <w:p w14:paraId="3BCAC853" w14:textId="77777777" w:rsidR="00066D0C" w:rsidRDefault="00066D0C" w:rsidP="00066D0C">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Objective: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Confirm the efficacy of our interchange procedure</w:t>
      </w:r>
    </w:p>
    <w:p w14:paraId="6D73DAB0" w14:textId="77777777" w:rsidR="00066D0C" w:rsidRDefault="00066D0C" w:rsidP="00066D0C">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Methods:</w:t>
      </w:r>
      <w:r>
        <w:rPr>
          <w:rFonts w:ascii="Times New Roman" w:eastAsia="Times New Roman" w:hAnsi="Times New Roman" w:cs="Times New Roman"/>
          <w:sz w:val="24"/>
          <w:szCs w:val="24"/>
        </w:rPr>
        <w:t xml:space="preserve"> This IRB-exempted retrospective chart review includes patients aged </w:t>
      </w:r>
      <w:r>
        <w:rPr>
          <w:rFonts w:ascii="Times New Roman" w:eastAsia="Times New Roman" w:hAnsi="Times New Roman" w:cs="Times New Roman"/>
          <w:color w:val="000000" w:themeColor="text1"/>
          <w:sz w:val="24"/>
          <w:szCs w:val="24"/>
        </w:rPr>
        <w:t>≥75 years with CrCl &gt;30 mL/min</w:t>
      </w:r>
      <w:r>
        <w:rPr>
          <w:rFonts w:ascii="Times New Roman" w:eastAsia="Times New Roman" w:hAnsi="Times New Roman" w:cs="Times New Roman"/>
          <w:sz w:val="24"/>
          <w:szCs w:val="24"/>
        </w:rPr>
        <w:t xml:space="preserve"> from July 2020 to February 2021 who received therapeutic enoxaparin 0.75 mg/kg every 12 hours with </w:t>
      </w:r>
      <w:r>
        <w:rPr>
          <w:rFonts w:ascii="Times New Roman" w:eastAsia="Times New Roman" w:hAnsi="Times New Roman" w:cs="Times New Roman"/>
          <w:color w:val="000000" w:themeColor="text1"/>
          <w:sz w:val="24"/>
          <w:szCs w:val="24"/>
        </w:rPr>
        <w:t xml:space="preserve">≥1 </w:t>
      </w:r>
      <w:r>
        <w:rPr>
          <w:rFonts w:ascii="Times New Roman" w:eastAsia="Times New Roman" w:hAnsi="Times New Roman" w:cs="Times New Roman"/>
          <w:sz w:val="24"/>
          <w:szCs w:val="24"/>
        </w:rPr>
        <w:t xml:space="preserve">anti-Xa level. The primary endpoint is the incidence of therapeutic (0.5 to 1.0 IU/mL), subtherapeutic, and supratherapeutic peak anti-Xa levels 4 to 6 hours after the third dose. Secondary endpoints include in-hospital mortality, bleeding, thrombosis, number of dosage adjustments to therapeutic anti-Xa levels, and dosage at which therapeutic anti-Xa levels are achieved. Baseline demographics and clinical characteristics will be described as mean ± standard deviation or median (interquartile range) for continuous variables, and frequencies for categorical variables. </w:t>
      </w:r>
    </w:p>
    <w:p w14:paraId="1099772B" w14:textId="77777777" w:rsidR="00066D0C" w:rsidRDefault="00066D0C" w:rsidP="00066D0C">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Results:</w:t>
      </w:r>
      <w:r>
        <w:rPr>
          <w:rFonts w:ascii="Times New Roman" w:eastAsia="Times New Roman" w:hAnsi="Times New Roman" w:cs="Times New Roman"/>
          <w:sz w:val="24"/>
          <w:szCs w:val="24"/>
        </w:rPr>
        <w:t xml:space="preserve"> In the interim analysis, out of 20 patients included, 14, 3, and 3 patients had therapeutic, subtherapeutic, and supratherapeutic initial anti-Xa levels, respectively. </w:t>
      </w:r>
    </w:p>
    <w:p w14:paraId="6A7D6F61" w14:textId="77777777" w:rsidR="00066D0C" w:rsidRDefault="00066D0C" w:rsidP="00066D0C">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Conclusion:</w:t>
      </w:r>
      <w:r>
        <w:rPr>
          <w:rFonts w:ascii="Times New Roman" w:eastAsia="Times New Roman" w:hAnsi="Times New Roman" w:cs="Times New Roman"/>
          <w:sz w:val="24"/>
          <w:szCs w:val="24"/>
        </w:rPr>
        <w:t xml:space="preserve"> In progress</w:t>
      </w:r>
    </w:p>
    <w:p w14:paraId="637F37C1" w14:textId="77777777" w:rsidR="00066D0C" w:rsidRDefault="00066D0C" w:rsidP="00BD0302">
      <w:pPr>
        <w:rPr>
          <w:rFonts w:ascii="Times New Roman" w:hAnsi="Times New Roman" w:cs="Times New Roman"/>
        </w:rPr>
      </w:pPr>
    </w:p>
    <w:p w14:paraId="40D9B9A6" w14:textId="77777777" w:rsidR="00066D0C" w:rsidRDefault="00066D0C" w:rsidP="00BD0302">
      <w:pPr>
        <w:rPr>
          <w:rFonts w:ascii="Times New Roman" w:hAnsi="Times New Roman" w:cs="Times New Roman"/>
        </w:rPr>
      </w:pPr>
    </w:p>
    <w:p w14:paraId="3FB69DF4" w14:textId="77777777" w:rsidR="00066D0C" w:rsidRDefault="00066D0C" w:rsidP="00BD0302">
      <w:pPr>
        <w:rPr>
          <w:rFonts w:ascii="Times New Roman" w:hAnsi="Times New Roman" w:cs="Times New Roman"/>
        </w:rPr>
      </w:pPr>
    </w:p>
    <w:p w14:paraId="4A22297F" w14:textId="77777777" w:rsidR="00066D0C" w:rsidRDefault="00066D0C" w:rsidP="00BD0302">
      <w:pPr>
        <w:rPr>
          <w:rFonts w:ascii="Times New Roman" w:hAnsi="Times New Roman" w:cs="Times New Roman"/>
        </w:rPr>
      </w:pPr>
    </w:p>
    <w:p w14:paraId="3743DF79" w14:textId="77777777" w:rsidR="00066D0C" w:rsidRDefault="00066D0C" w:rsidP="00BD0302">
      <w:pPr>
        <w:rPr>
          <w:rFonts w:ascii="Times New Roman" w:hAnsi="Times New Roman" w:cs="Times New Roman"/>
        </w:rPr>
      </w:pPr>
    </w:p>
    <w:p w14:paraId="25209105" w14:textId="6926D65F" w:rsidR="00066D0C" w:rsidRDefault="00066D0C" w:rsidP="00BD0302">
      <w:pPr>
        <w:rPr>
          <w:rFonts w:ascii="Times New Roman" w:hAnsi="Times New Roman" w:cs="Times New Roman"/>
        </w:rPr>
      </w:pPr>
    </w:p>
    <w:p w14:paraId="11FAD733" w14:textId="77777777" w:rsidR="00066D0C" w:rsidRDefault="00066D0C" w:rsidP="00BD0302">
      <w:pPr>
        <w:rPr>
          <w:rFonts w:ascii="Times New Roman" w:hAnsi="Times New Roman" w:cs="Times New Roman"/>
        </w:rPr>
      </w:pPr>
    </w:p>
    <w:p w14:paraId="526603FB" w14:textId="77777777" w:rsidR="00066D0C" w:rsidRDefault="00066D0C" w:rsidP="00BD0302">
      <w:pPr>
        <w:rPr>
          <w:rFonts w:ascii="Times New Roman" w:hAnsi="Times New Roman" w:cs="Times New Roman"/>
        </w:rPr>
      </w:pPr>
    </w:p>
    <w:p w14:paraId="02B24CED" w14:textId="6D68392A" w:rsidR="00BD0302" w:rsidRDefault="00BD0302" w:rsidP="00BD0302">
      <w:pPr>
        <w:rPr>
          <w:rFonts w:ascii="Times New Roman" w:hAnsi="Times New Roman" w:cs="Times New Roman"/>
        </w:rPr>
      </w:pPr>
      <w:r>
        <w:rPr>
          <w:rFonts w:ascii="Times New Roman" w:hAnsi="Times New Roman" w:cs="Times New Roman"/>
        </w:rPr>
        <w:lastRenderedPageBreak/>
        <w:t>ASSESSMENT OF INSULIN INFUSION REQUIREMENTS IN CORONAVIRUS DISEASE 2019 (COVID-19)-INFECTED PATIENTS WITH DIABETIC KETOACIDOSIS</w:t>
      </w:r>
    </w:p>
    <w:p w14:paraId="0D3DCAA9" w14:textId="77777777" w:rsidR="00BD0302" w:rsidRDefault="00BD0302" w:rsidP="00BD0302">
      <w:pPr>
        <w:rPr>
          <w:rFonts w:ascii="Times New Roman" w:hAnsi="Times New Roman" w:cs="Times New Roman"/>
          <w:u w:val="single"/>
        </w:rPr>
      </w:pPr>
      <w:r>
        <w:rPr>
          <w:rFonts w:ascii="Times New Roman" w:hAnsi="Times New Roman" w:cs="Times New Roman"/>
          <w:u w:val="single"/>
        </w:rPr>
        <w:t>Farzadfar D</w:t>
      </w:r>
      <w:r>
        <w:rPr>
          <w:rFonts w:ascii="Times New Roman" w:hAnsi="Times New Roman" w:cs="Times New Roman"/>
        </w:rPr>
        <w:t xml:space="preserve">*, </w:t>
      </w:r>
      <w:r>
        <w:rPr>
          <w:rFonts w:ascii="Times New Roman" w:hAnsi="Times New Roman" w:cs="Times New Roman"/>
          <w:u w:val="single"/>
        </w:rPr>
        <w:t>Cummings C</w:t>
      </w:r>
      <w:r>
        <w:rPr>
          <w:rFonts w:ascii="Times New Roman" w:hAnsi="Times New Roman" w:cs="Times New Roman"/>
        </w:rPr>
        <w:t xml:space="preserve">, </w:t>
      </w:r>
      <w:r>
        <w:rPr>
          <w:rFonts w:ascii="Times New Roman" w:hAnsi="Times New Roman" w:cs="Times New Roman"/>
          <w:u w:val="single"/>
        </w:rPr>
        <w:t>Falsetta K</w:t>
      </w:r>
      <w:r>
        <w:rPr>
          <w:rFonts w:ascii="Times New Roman" w:hAnsi="Times New Roman" w:cs="Times New Roman"/>
        </w:rPr>
        <w:t xml:space="preserve">, </w:t>
      </w:r>
      <w:r>
        <w:rPr>
          <w:rFonts w:ascii="Times New Roman" w:hAnsi="Times New Roman" w:cs="Times New Roman"/>
          <w:u w:val="single"/>
        </w:rPr>
        <w:t>Schulman-Rosenbaum R</w:t>
      </w:r>
      <w:r>
        <w:rPr>
          <w:rFonts w:ascii="Times New Roman" w:hAnsi="Times New Roman" w:cs="Times New Roman"/>
        </w:rPr>
        <w:t xml:space="preserve">, </w:t>
      </w:r>
      <w:r>
        <w:rPr>
          <w:rFonts w:ascii="Times New Roman" w:hAnsi="Times New Roman" w:cs="Times New Roman"/>
          <w:u w:val="single"/>
        </w:rPr>
        <w:t>Calder T</w:t>
      </w:r>
      <w:r>
        <w:rPr>
          <w:rFonts w:ascii="Times New Roman" w:hAnsi="Times New Roman" w:cs="Times New Roman"/>
        </w:rPr>
        <w:t xml:space="preserve">, </w:t>
      </w:r>
      <w:r>
        <w:rPr>
          <w:rFonts w:ascii="Times New Roman" w:hAnsi="Times New Roman" w:cs="Times New Roman"/>
          <w:u w:val="single"/>
        </w:rPr>
        <w:t>Tsegaye A,</w:t>
      </w:r>
      <w:r>
        <w:rPr>
          <w:rFonts w:ascii="Times New Roman" w:hAnsi="Times New Roman" w:cs="Times New Roman"/>
        </w:rPr>
        <w:t xml:space="preserve"> </w:t>
      </w:r>
      <w:r>
        <w:rPr>
          <w:rFonts w:ascii="Times New Roman" w:hAnsi="Times New Roman" w:cs="Times New Roman"/>
          <w:u w:val="single"/>
        </w:rPr>
        <w:t>Kohn N</w:t>
      </w:r>
    </w:p>
    <w:p w14:paraId="16946F78" w14:textId="77777777" w:rsidR="00BD0302" w:rsidRDefault="00BD0302" w:rsidP="00BD0302">
      <w:pPr>
        <w:rPr>
          <w:rFonts w:ascii="Times New Roman" w:hAnsi="Times New Roman" w:cs="Times New Roman"/>
        </w:rPr>
      </w:pPr>
      <w:r>
        <w:rPr>
          <w:rFonts w:ascii="Times New Roman" w:hAnsi="Times New Roman" w:cs="Times New Roman"/>
        </w:rPr>
        <w:t>Long Island Jewish Medical Center, 270-05 76th Ave, New Hyde Park, NY 11040</w:t>
      </w:r>
    </w:p>
    <w:p w14:paraId="5785104C" w14:textId="77777777" w:rsidR="00BD0302" w:rsidRDefault="00BD0302" w:rsidP="00BD0302">
      <w:pPr>
        <w:rPr>
          <w:rFonts w:ascii="Times New Roman" w:hAnsi="Times New Roman" w:cs="Times New Roman"/>
        </w:rPr>
      </w:pPr>
    </w:p>
    <w:p w14:paraId="26CF09AB" w14:textId="77777777" w:rsidR="00BD0302" w:rsidRDefault="00BD0302" w:rsidP="00BD0302">
      <w:pPr>
        <w:rPr>
          <w:rFonts w:ascii="Times New Roman" w:hAnsi="Times New Roman" w:cs="Times New Roman"/>
        </w:rPr>
      </w:pPr>
      <w:r>
        <w:rPr>
          <w:rFonts w:ascii="Times New Roman" w:hAnsi="Times New Roman" w:cs="Times New Roman"/>
          <w:b/>
        </w:rPr>
        <w:t xml:space="preserve">Background: </w:t>
      </w:r>
      <w:r>
        <w:rPr>
          <w:rFonts w:ascii="Times New Roman" w:hAnsi="Times New Roman" w:cs="Times New Roman"/>
        </w:rPr>
        <w:t>In March of 2020, coronavirus disease 2019 (COVID-19) was declared a global pandemic. To date, more than 28 million cases have been reported in the United States. In COVID-19-infected patients, diabetes has been shown to worsen the prognosis of infection. Additionally, COVID-19 is thought to induce diabetic ketoacidosis (DKA) by impairing insulin secretion. Literature regarding insulin infusion requirements in COVID-19-infected patients with DKA is limited.</w:t>
      </w:r>
    </w:p>
    <w:p w14:paraId="6FB29D04" w14:textId="77777777" w:rsidR="00BD0302" w:rsidRDefault="00BD0302" w:rsidP="00BD0302">
      <w:pPr>
        <w:rPr>
          <w:rFonts w:ascii="Times New Roman" w:hAnsi="Times New Roman" w:cs="Times New Roman"/>
        </w:rPr>
      </w:pPr>
    </w:p>
    <w:p w14:paraId="323E8FA0" w14:textId="77777777" w:rsidR="00BD0302" w:rsidRDefault="00BD0302" w:rsidP="00BD0302">
      <w:pPr>
        <w:rPr>
          <w:rFonts w:ascii="Times New Roman" w:hAnsi="Times New Roman" w:cs="Times New Roman"/>
        </w:rPr>
      </w:pPr>
      <w:r>
        <w:rPr>
          <w:rFonts w:ascii="Times New Roman" w:hAnsi="Times New Roman" w:cs="Times New Roman"/>
          <w:b/>
        </w:rPr>
        <w:t xml:space="preserve">Objective: </w:t>
      </w:r>
      <w:r>
        <w:rPr>
          <w:rFonts w:ascii="Times New Roman" w:hAnsi="Times New Roman" w:cs="Times New Roman"/>
        </w:rPr>
        <w:t>The purpose of this study was to compare the cumulative insulin dose required to achieve resolution of DKA in the intensive care unit (ICU) in COVID-19 vs. non-COVID-19 patients with type 2 diabetes mellitus (T2DM).</w:t>
      </w:r>
    </w:p>
    <w:p w14:paraId="2518B9A1" w14:textId="77777777" w:rsidR="00BD0302" w:rsidRDefault="00BD0302" w:rsidP="00BD0302">
      <w:pPr>
        <w:rPr>
          <w:rFonts w:ascii="Times New Roman" w:hAnsi="Times New Roman" w:cs="Times New Roman"/>
        </w:rPr>
      </w:pPr>
    </w:p>
    <w:p w14:paraId="40961A6C" w14:textId="77777777" w:rsidR="00BD0302" w:rsidRDefault="00BD0302" w:rsidP="00BD0302">
      <w:pPr>
        <w:rPr>
          <w:rFonts w:ascii="Times New Roman" w:hAnsi="Times New Roman" w:cs="Times New Roman"/>
        </w:rPr>
      </w:pPr>
      <w:r>
        <w:rPr>
          <w:rFonts w:ascii="Times New Roman" w:hAnsi="Times New Roman" w:cs="Times New Roman"/>
          <w:b/>
        </w:rPr>
        <w:t>Methods:</w:t>
      </w:r>
      <w:r>
        <w:rPr>
          <w:rFonts w:ascii="Times New Roman" w:hAnsi="Times New Roman" w:cs="Times New Roman"/>
        </w:rPr>
        <w:t xml:space="preserve"> The Institutional Review Board deemed this retrospective cohort study exempt. Cohort 1 included patients with a diagnosis of COVID-19 while cohort 2 included patients without COVID-19. Patients were included if they had a history of or new-onset T2DM and were being treated with a continuous insulin infusion for DKA in an ICU setting. Data collected included patient demographics, baseline DKA labs, concomitant hyperglycemic-causing medications, insulin infusion duration, cumulative insulin dose, average insulin infusion rate, total and ICU length of stay, and mortality. The primary outcome was to compare the cumulative insulin dose required to achieve resolution of DKA in each cohort. The secondary outcomes included the time to achieve resolution of DKA as well as the average insulin infusion rate, weight-based insulin infusion rate, and average weight-based insulin infusion rate required to achieve resolution of DKA.</w:t>
      </w:r>
    </w:p>
    <w:p w14:paraId="59807F45" w14:textId="77777777" w:rsidR="00BD0302" w:rsidRDefault="00BD0302" w:rsidP="00BD0302">
      <w:pPr>
        <w:rPr>
          <w:rFonts w:ascii="Times New Roman" w:hAnsi="Times New Roman" w:cs="Times New Roman"/>
        </w:rPr>
      </w:pPr>
    </w:p>
    <w:p w14:paraId="319F5255" w14:textId="77777777" w:rsidR="00BD0302" w:rsidRDefault="00BD0302" w:rsidP="00BD0302">
      <w:pPr>
        <w:rPr>
          <w:rFonts w:ascii="Times New Roman" w:hAnsi="Times New Roman" w:cs="Times New Roman"/>
        </w:rPr>
      </w:pPr>
      <w:r>
        <w:rPr>
          <w:rFonts w:ascii="Times New Roman" w:hAnsi="Times New Roman" w:cs="Times New Roman"/>
          <w:b/>
        </w:rPr>
        <w:t xml:space="preserve">Results: </w:t>
      </w:r>
      <w:r>
        <w:rPr>
          <w:rFonts w:ascii="Times New Roman" w:hAnsi="Times New Roman" w:cs="Times New Roman"/>
        </w:rPr>
        <w:t>Pending.</w:t>
      </w:r>
    </w:p>
    <w:p w14:paraId="48265FAB" w14:textId="77777777" w:rsidR="00BD0302" w:rsidRDefault="00BD0302" w:rsidP="00BD0302">
      <w:pPr>
        <w:rPr>
          <w:rFonts w:ascii="Times New Roman" w:hAnsi="Times New Roman" w:cs="Times New Roman"/>
        </w:rPr>
      </w:pPr>
    </w:p>
    <w:p w14:paraId="30493A56" w14:textId="0ACC8AE0" w:rsidR="00BD0302" w:rsidRDefault="00BD0302" w:rsidP="00BD0302">
      <w:pPr>
        <w:rPr>
          <w:rFonts w:ascii="Times New Roman" w:hAnsi="Times New Roman" w:cs="Times New Roman"/>
        </w:rPr>
      </w:pPr>
      <w:r>
        <w:rPr>
          <w:rFonts w:ascii="Times New Roman" w:hAnsi="Times New Roman" w:cs="Times New Roman"/>
          <w:b/>
        </w:rPr>
        <w:t>Conclusions:</w:t>
      </w:r>
      <w:r>
        <w:rPr>
          <w:rFonts w:ascii="Times New Roman" w:hAnsi="Times New Roman" w:cs="Times New Roman"/>
        </w:rPr>
        <w:t xml:space="preserve"> Pending.</w:t>
      </w:r>
    </w:p>
    <w:p w14:paraId="63F87C5B" w14:textId="4EC79CBE" w:rsidR="00BD0302" w:rsidRDefault="00BD0302" w:rsidP="00BD0302">
      <w:pPr>
        <w:rPr>
          <w:rFonts w:ascii="Times New Roman" w:hAnsi="Times New Roman" w:cs="Times New Roman"/>
        </w:rPr>
      </w:pPr>
    </w:p>
    <w:p w14:paraId="5AD512F1" w14:textId="3B44934C" w:rsidR="00BD0302" w:rsidRDefault="00BD0302" w:rsidP="00BD0302">
      <w:pPr>
        <w:rPr>
          <w:rFonts w:ascii="Times New Roman" w:hAnsi="Times New Roman" w:cs="Times New Roman"/>
        </w:rPr>
      </w:pPr>
    </w:p>
    <w:p w14:paraId="50D3AC17" w14:textId="637DD442" w:rsidR="00BD0302" w:rsidRDefault="00BD0302" w:rsidP="00BD0302">
      <w:pPr>
        <w:rPr>
          <w:rFonts w:ascii="Times New Roman" w:hAnsi="Times New Roman" w:cs="Times New Roman"/>
        </w:rPr>
      </w:pPr>
    </w:p>
    <w:p w14:paraId="6D44C303" w14:textId="01FA3E88" w:rsidR="00BD0302" w:rsidRDefault="00BD0302" w:rsidP="00BD0302">
      <w:pPr>
        <w:rPr>
          <w:rFonts w:ascii="Times New Roman" w:hAnsi="Times New Roman" w:cs="Times New Roman"/>
        </w:rPr>
      </w:pPr>
    </w:p>
    <w:p w14:paraId="783DA55E" w14:textId="6FFE0FAB" w:rsidR="00BD0302" w:rsidRDefault="00BD0302" w:rsidP="00BD0302">
      <w:pPr>
        <w:rPr>
          <w:rFonts w:ascii="Times New Roman" w:hAnsi="Times New Roman" w:cs="Times New Roman"/>
        </w:rPr>
      </w:pPr>
    </w:p>
    <w:p w14:paraId="00AC0218" w14:textId="61D906A4" w:rsidR="00BD0302" w:rsidRDefault="00BD0302" w:rsidP="00BD0302">
      <w:pPr>
        <w:rPr>
          <w:rFonts w:ascii="Times New Roman" w:hAnsi="Times New Roman" w:cs="Times New Roman"/>
        </w:rPr>
      </w:pPr>
    </w:p>
    <w:p w14:paraId="5DE0BD0F" w14:textId="11C1DAF1" w:rsidR="00BD0302" w:rsidRDefault="00BD0302" w:rsidP="00BD0302">
      <w:pPr>
        <w:rPr>
          <w:rFonts w:ascii="Times New Roman" w:hAnsi="Times New Roman" w:cs="Times New Roman"/>
        </w:rPr>
      </w:pPr>
    </w:p>
    <w:p w14:paraId="36141192" w14:textId="77777777" w:rsidR="00BD0302" w:rsidRDefault="00BD0302" w:rsidP="00BD0302">
      <w:pPr>
        <w:rPr>
          <w:rFonts w:ascii="Times New Roman" w:eastAsia="Times New Roman" w:hAnsi="Times New Roman" w:cs="Times New Roman"/>
        </w:rPr>
      </w:pPr>
      <w:r>
        <w:rPr>
          <w:rFonts w:ascii="Times New Roman" w:eastAsia="Times New Roman" w:hAnsi="Times New Roman" w:cs="Times New Roman"/>
        </w:rPr>
        <w:lastRenderedPageBreak/>
        <w:t>LIDOCAINE FOR NEUROBLASTOMA PAIN? A MULTICENTER RETROSPECTIVE OBSERVATIONAL COHORT STUDY</w:t>
      </w:r>
    </w:p>
    <w:p w14:paraId="3AF2E901" w14:textId="77777777" w:rsidR="00BD0302" w:rsidRDefault="00BD0302" w:rsidP="00BD0302">
      <w:pPr>
        <w:rPr>
          <w:rFonts w:ascii="Times New Roman" w:eastAsia="Times New Roman" w:hAnsi="Times New Roman" w:cs="Times New Roman"/>
        </w:rPr>
      </w:pPr>
      <w:r>
        <w:rPr>
          <w:rFonts w:ascii="Times New Roman" w:eastAsia="Times New Roman" w:hAnsi="Times New Roman" w:cs="Times New Roman"/>
        </w:rPr>
        <w:t xml:space="preserve">Featherly J*, Wojnowicz S, Steidl K, Miller C, Burgess J </w:t>
      </w:r>
    </w:p>
    <w:p w14:paraId="13E19279" w14:textId="77777777" w:rsidR="00BD0302" w:rsidRDefault="00BD0302" w:rsidP="00BD0302">
      <w:pPr>
        <w:rPr>
          <w:rFonts w:ascii="Times New Roman" w:eastAsia="Times New Roman" w:hAnsi="Times New Roman" w:cs="Times New Roman"/>
        </w:rPr>
      </w:pPr>
      <w:r>
        <w:rPr>
          <w:rFonts w:ascii="Times New Roman" w:eastAsia="Times New Roman" w:hAnsi="Times New Roman" w:cs="Times New Roman"/>
        </w:rPr>
        <w:t>Upstate University Hospital, 750 East Adams Street, Syracuse NY 13210</w:t>
      </w:r>
    </w:p>
    <w:p w14:paraId="4FBCEDE5" w14:textId="77777777" w:rsidR="00BD0302" w:rsidRDefault="00BD0302" w:rsidP="00BD0302">
      <w:pPr>
        <w:rPr>
          <w:rFonts w:ascii="Times New Roman" w:eastAsia="Times New Roman" w:hAnsi="Times New Roman" w:cs="Times New Roman"/>
        </w:rPr>
      </w:pPr>
      <w:r>
        <w:rPr>
          <w:rFonts w:ascii="Times New Roman" w:eastAsia="Times New Roman" w:hAnsi="Times New Roman" w:cs="Times New Roman"/>
          <w:b/>
          <w:bCs/>
        </w:rPr>
        <w:t>Background</w:t>
      </w:r>
      <w:r>
        <w:rPr>
          <w:rFonts w:ascii="Times New Roman" w:eastAsia="Times New Roman" w:hAnsi="Times New Roman" w:cs="Times New Roman"/>
        </w:rPr>
        <w:t xml:space="preserve">:  Dinutuximab, previously known as anti-GD2 ch14.18, is an immune-mediated therapy used in the treatment of high-risk (HR) neuroblastoma (NBL). Dinutuximab targets the protein GD2 which is present on neuroblastoma cells as well as neurons and peripheral nerve fibers. Off target effects of dinutuximab on the neurons and peripheral nerve fibers cause many patients to experience severe nerve pain. Significant modifications of pain treatment are typically required during their first treatment course. Historically, the standard of care for pain control in these patients has been high-dose opioids. Our institution has utilized a combination of intravenous lidocaine infusions and morphine for the primary treatment of dinutuximab associated neuropathic pain. </w:t>
      </w:r>
    </w:p>
    <w:p w14:paraId="1DFF3E0A" w14:textId="77777777" w:rsidR="00BD0302" w:rsidRDefault="00BD0302" w:rsidP="00BD0302">
      <w:pPr>
        <w:rPr>
          <w:rFonts w:ascii="Times New Roman" w:eastAsia="Times New Roman" w:hAnsi="Times New Roman" w:cs="Times New Roman"/>
        </w:rPr>
      </w:pPr>
      <w:r>
        <w:rPr>
          <w:rFonts w:ascii="Times New Roman" w:eastAsia="Times New Roman" w:hAnsi="Times New Roman" w:cs="Times New Roman"/>
          <w:b/>
          <w:bCs/>
        </w:rPr>
        <w:t xml:space="preserve">Objective: </w:t>
      </w:r>
      <w:r>
        <w:rPr>
          <w:rFonts w:ascii="Times New Roman" w:eastAsia="Times New Roman" w:hAnsi="Times New Roman" w:cs="Times New Roman"/>
        </w:rPr>
        <w:t>We look to compare the safety and efficacy of intravenous lidocaine infusions as compared to other pain control regimens, including high-dose morphine alone, hydromorphone and morphine and dexmedetomidine.</w:t>
      </w:r>
    </w:p>
    <w:p w14:paraId="63FBC2EC" w14:textId="77777777" w:rsidR="00BD0302" w:rsidRDefault="00BD0302" w:rsidP="00BD0302">
      <w:pPr>
        <w:rPr>
          <w:rFonts w:ascii="Times New Roman" w:eastAsia="Times New Roman" w:hAnsi="Times New Roman" w:cs="Times New Roman"/>
        </w:rPr>
      </w:pPr>
      <w:r>
        <w:rPr>
          <w:rFonts w:ascii="Times New Roman" w:eastAsia="Times New Roman" w:hAnsi="Times New Roman" w:cs="Times New Roman"/>
          <w:b/>
          <w:bCs/>
        </w:rPr>
        <w:t>Methods</w:t>
      </w:r>
      <w:r>
        <w:rPr>
          <w:rFonts w:ascii="Times New Roman" w:eastAsia="Times New Roman" w:hAnsi="Times New Roman" w:cs="Times New Roman"/>
        </w:rPr>
        <w:t xml:space="preserve">: A retrospective, multi-centered, electronic chart review was performed at four tertiary academic medical centers. This project was granted an exemption by our Institutional Review Board (IRB). Patients between 0-18 years of age who received lidocaine infusions during their first course of dinutuximab were included in the study to evaluate the primary outcome of adjuvant morphine equivalents needed. Data will be presented using descriptive and inferential statistics.  </w:t>
      </w:r>
    </w:p>
    <w:p w14:paraId="4C71C7E7" w14:textId="77777777" w:rsidR="00BD0302" w:rsidRDefault="00BD0302" w:rsidP="00BD0302">
      <w:pPr>
        <w:rPr>
          <w:rFonts w:ascii="Times New Roman" w:eastAsia="Times New Roman" w:hAnsi="Times New Roman" w:cs="Times New Roman"/>
        </w:rPr>
      </w:pPr>
      <w:r>
        <w:rPr>
          <w:rFonts w:ascii="Times New Roman" w:eastAsia="Times New Roman" w:hAnsi="Times New Roman" w:cs="Times New Roman"/>
          <w:b/>
          <w:bCs/>
        </w:rPr>
        <w:t>Results</w:t>
      </w:r>
      <w:r>
        <w:rPr>
          <w:rFonts w:ascii="Times New Roman" w:eastAsia="Times New Roman" w:hAnsi="Times New Roman" w:cs="Times New Roman"/>
        </w:rPr>
        <w:t>: Results will be submitted within final slides.</w:t>
      </w:r>
    </w:p>
    <w:p w14:paraId="440EBF89" w14:textId="77777777" w:rsidR="00BD0302" w:rsidRDefault="00BD0302" w:rsidP="00BD0302">
      <w:pPr>
        <w:rPr>
          <w:rFonts w:ascii="Times New Roman" w:eastAsia="Times New Roman" w:hAnsi="Times New Roman" w:cs="Times New Roman"/>
        </w:rPr>
      </w:pPr>
      <w:r>
        <w:rPr>
          <w:rFonts w:ascii="Times New Roman" w:eastAsia="Times New Roman" w:hAnsi="Times New Roman" w:cs="Times New Roman"/>
          <w:b/>
          <w:bCs/>
        </w:rPr>
        <w:t>Conclusions</w:t>
      </w:r>
      <w:r>
        <w:rPr>
          <w:rFonts w:ascii="Times New Roman" w:eastAsia="Times New Roman" w:hAnsi="Times New Roman" w:cs="Times New Roman"/>
        </w:rPr>
        <w:t>: Conclusion will be submitted within final slides.</w:t>
      </w:r>
    </w:p>
    <w:p w14:paraId="54F91801" w14:textId="04D6C3B7" w:rsidR="00BD0302" w:rsidRDefault="00BD0302" w:rsidP="00BD0302">
      <w:pPr>
        <w:rPr>
          <w:rFonts w:ascii="Times New Roman" w:hAnsi="Times New Roman" w:cs="Times New Roman"/>
        </w:rPr>
      </w:pPr>
    </w:p>
    <w:p w14:paraId="3E1EE7E5" w14:textId="42B320AC" w:rsidR="00BD0302" w:rsidRDefault="00BD0302" w:rsidP="00BD0302">
      <w:pPr>
        <w:rPr>
          <w:rFonts w:ascii="Times New Roman" w:hAnsi="Times New Roman" w:cs="Times New Roman"/>
        </w:rPr>
      </w:pPr>
    </w:p>
    <w:p w14:paraId="6CF93036" w14:textId="2EBB7DA1" w:rsidR="00BD0302" w:rsidRDefault="00BD0302" w:rsidP="00BD0302">
      <w:pPr>
        <w:rPr>
          <w:rFonts w:ascii="Times New Roman" w:hAnsi="Times New Roman" w:cs="Times New Roman"/>
        </w:rPr>
      </w:pPr>
    </w:p>
    <w:p w14:paraId="69CF669F" w14:textId="54A0D97F" w:rsidR="00BD0302" w:rsidRDefault="00BD0302" w:rsidP="00BD0302">
      <w:pPr>
        <w:rPr>
          <w:rFonts w:ascii="Times New Roman" w:hAnsi="Times New Roman" w:cs="Times New Roman"/>
        </w:rPr>
      </w:pPr>
    </w:p>
    <w:p w14:paraId="39C4C104" w14:textId="4C2D9529" w:rsidR="00BD0302" w:rsidRDefault="00BD0302" w:rsidP="00BD0302">
      <w:pPr>
        <w:rPr>
          <w:rFonts w:ascii="Times New Roman" w:hAnsi="Times New Roman" w:cs="Times New Roman"/>
        </w:rPr>
      </w:pPr>
    </w:p>
    <w:p w14:paraId="0BC03684" w14:textId="67F819A7" w:rsidR="00BD0302" w:rsidRDefault="00BD0302" w:rsidP="00BD0302">
      <w:pPr>
        <w:rPr>
          <w:rFonts w:ascii="Times New Roman" w:hAnsi="Times New Roman" w:cs="Times New Roman"/>
        </w:rPr>
      </w:pPr>
    </w:p>
    <w:p w14:paraId="33FD023F" w14:textId="0C4BF7EB" w:rsidR="00BD0302" w:rsidRDefault="00BD0302" w:rsidP="00BD0302">
      <w:pPr>
        <w:rPr>
          <w:rFonts w:ascii="Times New Roman" w:hAnsi="Times New Roman" w:cs="Times New Roman"/>
        </w:rPr>
      </w:pPr>
    </w:p>
    <w:p w14:paraId="59729B5B" w14:textId="1CBED99D" w:rsidR="00BD0302" w:rsidRDefault="00BD0302" w:rsidP="00BD0302">
      <w:pPr>
        <w:rPr>
          <w:rFonts w:ascii="Times New Roman" w:hAnsi="Times New Roman" w:cs="Times New Roman"/>
        </w:rPr>
      </w:pPr>
    </w:p>
    <w:p w14:paraId="60AF108F" w14:textId="371B2474" w:rsidR="00BD0302" w:rsidRDefault="00BD0302" w:rsidP="00BD0302">
      <w:pPr>
        <w:rPr>
          <w:rFonts w:ascii="Times New Roman" w:hAnsi="Times New Roman" w:cs="Times New Roman"/>
        </w:rPr>
      </w:pPr>
    </w:p>
    <w:p w14:paraId="27523C33" w14:textId="18DC4400" w:rsidR="00BD0302" w:rsidRDefault="00BD0302" w:rsidP="00BD0302">
      <w:pPr>
        <w:rPr>
          <w:rFonts w:ascii="Times New Roman" w:hAnsi="Times New Roman" w:cs="Times New Roman"/>
        </w:rPr>
      </w:pPr>
    </w:p>
    <w:p w14:paraId="552974D0" w14:textId="32732DF9" w:rsidR="00BD0302" w:rsidRDefault="00BD0302" w:rsidP="00BD0302">
      <w:pPr>
        <w:rPr>
          <w:rFonts w:ascii="Times New Roman" w:hAnsi="Times New Roman" w:cs="Times New Roman"/>
        </w:rPr>
      </w:pPr>
    </w:p>
    <w:p w14:paraId="07B77E34" w14:textId="25715514" w:rsidR="00BD0302" w:rsidRDefault="00BD0302" w:rsidP="00BD0302">
      <w:pPr>
        <w:rPr>
          <w:rFonts w:ascii="Times New Roman" w:hAnsi="Times New Roman" w:cs="Times New Roman"/>
        </w:rPr>
      </w:pPr>
    </w:p>
    <w:p w14:paraId="07D99EFC" w14:textId="42B4DE4C" w:rsidR="00BD0302" w:rsidRDefault="00BD0302" w:rsidP="00BD0302">
      <w:pPr>
        <w:rPr>
          <w:rFonts w:ascii="Times New Roman" w:hAnsi="Times New Roman" w:cs="Times New Roman"/>
        </w:rPr>
      </w:pPr>
    </w:p>
    <w:p w14:paraId="7DD73D31" w14:textId="77777777" w:rsidR="00BD0302" w:rsidRPr="00BD0302" w:rsidRDefault="00BD0302" w:rsidP="00BD0302">
      <w:pPr>
        <w:pStyle w:val="NormalWeb"/>
      </w:pPr>
      <w:r w:rsidRPr="00BD0302">
        <w:rPr>
          <w:sz w:val="22"/>
          <w:szCs w:val="22"/>
        </w:rPr>
        <w:lastRenderedPageBreak/>
        <w:t xml:space="preserve">RISK FACTORS FOR TACHYARRHYTHMIA DEVELOPMENT IN PATIENTS WITH HFREF &amp; CARDIOGENIC SHOCK </w:t>
      </w:r>
    </w:p>
    <w:p w14:paraId="45536AE6" w14:textId="77777777" w:rsidR="00BD0302" w:rsidRPr="00BD0302" w:rsidRDefault="00BD0302" w:rsidP="00BD0302">
      <w:pPr>
        <w:pStyle w:val="NormalWeb"/>
      </w:pPr>
      <w:r w:rsidRPr="00BD0302">
        <w:rPr>
          <w:sz w:val="22"/>
          <w:szCs w:val="22"/>
        </w:rPr>
        <w:t xml:space="preserve">Frazier L*, Mills K, Chilbert M, Kersten B </w:t>
      </w:r>
    </w:p>
    <w:p w14:paraId="2C38DB30" w14:textId="77777777" w:rsidR="00BD0302" w:rsidRPr="00BD0302" w:rsidRDefault="00BD0302" w:rsidP="00BD0302">
      <w:pPr>
        <w:pStyle w:val="NormalWeb"/>
      </w:pPr>
      <w:r w:rsidRPr="00BD0302">
        <w:rPr>
          <w:sz w:val="22"/>
          <w:szCs w:val="22"/>
        </w:rPr>
        <w:t xml:space="preserve">Buffalo General Medical Center, 100 High Street, Buffalo, NY 14203 </w:t>
      </w:r>
    </w:p>
    <w:p w14:paraId="1C3D8DEA" w14:textId="77777777" w:rsidR="00BD0302" w:rsidRPr="00BD0302" w:rsidRDefault="00BD0302" w:rsidP="00BD0302">
      <w:pPr>
        <w:pStyle w:val="NormalWeb"/>
        <w:rPr>
          <w:sz w:val="22"/>
          <w:szCs w:val="22"/>
        </w:rPr>
      </w:pPr>
      <w:r w:rsidRPr="00BD0302">
        <w:rPr>
          <w:b/>
          <w:bCs/>
          <w:sz w:val="22"/>
          <w:szCs w:val="22"/>
        </w:rPr>
        <w:t>Background</w:t>
      </w:r>
      <w:r w:rsidRPr="00BD0302">
        <w:rPr>
          <w:sz w:val="22"/>
          <w:szCs w:val="22"/>
        </w:rPr>
        <w:t>: Heart failure with a reduced ejection fraction (HFrEF), typically defined as a left ventricular ejection fraction (EF) of less than 40%, is a complex clinical syndrome involving structural or functional impairment of ventricular filling. The number one cause of HFrEF is due to metabolic abnormalities and ischemia secondary to acute coronary syndromes. Acute decompensation can be life threatening and result in a severe form of heart failure, cardiogenic shock (CS). The Sepsis Occurrence in Acutely Ill Patients (SOAP) II Trial preformed an adverse events sub- group analysis revealed that CS patients who developed arrhythmias had an increased rate of mortality when receiving dopamine.</w:t>
      </w:r>
    </w:p>
    <w:p w14:paraId="007A1CCF" w14:textId="77777777" w:rsidR="00BD0302" w:rsidRPr="00BD0302" w:rsidRDefault="00BD0302" w:rsidP="00BD0302">
      <w:pPr>
        <w:pStyle w:val="NormalWeb"/>
      </w:pPr>
      <w:r w:rsidRPr="00BD0302">
        <w:rPr>
          <w:b/>
          <w:bCs/>
          <w:sz w:val="22"/>
          <w:szCs w:val="22"/>
        </w:rPr>
        <w:t>Objective</w:t>
      </w:r>
      <w:r w:rsidRPr="00BD0302">
        <w:rPr>
          <w:sz w:val="22"/>
          <w:szCs w:val="22"/>
        </w:rPr>
        <w:t>: We aim to determine different risk factors for development of tachyarrhythmias in patients with cardiogenic shock.</w:t>
      </w:r>
    </w:p>
    <w:p w14:paraId="67AFD9A9" w14:textId="77777777" w:rsidR="00BD0302" w:rsidRPr="00BD0302" w:rsidRDefault="00BD0302" w:rsidP="00BD0302">
      <w:pPr>
        <w:pStyle w:val="NormalWeb"/>
      </w:pPr>
      <w:r w:rsidRPr="00BD0302">
        <w:rPr>
          <w:b/>
          <w:bCs/>
          <w:sz w:val="22"/>
          <w:szCs w:val="22"/>
        </w:rPr>
        <w:t>Methods</w:t>
      </w:r>
      <w:r w:rsidRPr="00BD0302">
        <w:rPr>
          <w:sz w:val="22"/>
          <w:szCs w:val="22"/>
        </w:rPr>
        <w:t>: This was a retrospective, chart review at Buffalo General Medical Center recruiting patients from January 2015 to August 2020 utilizing ICD-10 codes to flag patients for eligibility. Adults with a history of HFrEF admitted to an ICU service with a diagnosis of CS who received dopamine or norepinephrine for pressure support were included. Patients were excluded if they received a combination of dopamine and norepinephrine or had positive blood cultures within 72 hours of vasopressor initation.</w:t>
      </w:r>
    </w:p>
    <w:p w14:paraId="603E0588" w14:textId="77777777" w:rsidR="00BD0302" w:rsidRPr="00BD0302" w:rsidRDefault="00BD0302" w:rsidP="00BD0302">
      <w:pPr>
        <w:pStyle w:val="NormalWeb"/>
      </w:pPr>
      <w:r w:rsidRPr="00BD0302">
        <w:rPr>
          <w:b/>
          <w:bCs/>
          <w:sz w:val="22"/>
          <w:szCs w:val="22"/>
        </w:rPr>
        <w:t>Results</w:t>
      </w:r>
      <w:r w:rsidRPr="00BD0302">
        <w:rPr>
          <w:sz w:val="22"/>
          <w:szCs w:val="22"/>
        </w:rPr>
        <w:t>: In Progress</w:t>
      </w:r>
    </w:p>
    <w:p w14:paraId="2FC0DEA8" w14:textId="46670F3E" w:rsidR="00BD0302" w:rsidRPr="00BD0302" w:rsidRDefault="00BD0302" w:rsidP="00BD0302">
      <w:pPr>
        <w:rPr>
          <w:rFonts w:ascii="Times New Roman" w:hAnsi="Times New Roman" w:cs="Times New Roman"/>
        </w:rPr>
      </w:pPr>
      <w:r w:rsidRPr="00BD0302">
        <w:rPr>
          <w:rFonts w:ascii="Times New Roman" w:hAnsi="Times New Roman" w:cs="Times New Roman"/>
          <w:b/>
          <w:bCs/>
        </w:rPr>
        <w:t>Conclusions</w:t>
      </w:r>
      <w:r w:rsidRPr="00BD0302">
        <w:rPr>
          <w:rFonts w:ascii="Times New Roman" w:hAnsi="Times New Roman" w:cs="Times New Roman"/>
        </w:rPr>
        <w:t>: In Progress</w:t>
      </w:r>
    </w:p>
    <w:p w14:paraId="6110EA18" w14:textId="77777777" w:rsidR="0007657F" w:rsidRDefault="0007657F" w:rsidP="0007657F">
      <w:pPr>
        <w:rPr>
          <w:rFonts w:ascii="Times New Roman" w:hAnsi="Times New Roman" w:cs="Times New Roman"/>
          <w:sz w:val="24"/>
          <w:szCs w:val="24"/>
        </w:rPr>
      </w:pPr>
    </w:p>
    <w:p w14:paraId="3C59EB75" w14:textId="7AC09962" w:rsidR="0007657F" w:rsidRDefault="0007657F" w:rsidP="0007657F">
      <w:pPr>
        <w:rPr>
          <w:rFonts w:ascii="Times New Roman" w:hAnsi="Times New Roman" w:cs="Times New Roman"/>
        </w:rPr>
      </w:pPr>
    </w:p>
    <w:p w14:paraId="49C938F7" w14:textId="479B3904" w:rsidR="00BD0302" w:rsidRDefault="00BD0302" w:rsidP="0007657F">
      <w:pPr>
        <w:rPr>
          <w:rFonts w:ascii="Times New Roman" w:hAnsi="Times New Roman" w:cs="Times New Roman"/>
        </w:rPr>
      </w:pPr>
    </w:p>
    <w:p w14:paraId="28E72DC3" w14:textId="47D36D7A" w:rsidR="00BD0302" w:rsidRDefault="00BD0302" w:rsidP="0007657F">
      <w:pPr>
        <w:rPr>
          <w:rFonts w:ascii="Times New Roman" w:hAnsi="Times New Roman" w:cs="Times New Roman"/>
        </w:rPr>
      </w:pPr>
    </w:p>
    <w:p w14:paraId="151BC0C8" w14:textId="64BF7BDD" w:rsidR="00BD0302" w:rsidRDefault="00BD0302" w:rsidP="0007657F">
      <w:pPr>
        <w:rPr>
          <w:rFonts w:ascii="Times New Roman" w:hAnsi="Times New Roman" w:cs="Times New Roman"/>
        </w:rPr>
      </w:pPr>
    </w:p>
    <w:p w14:paraId="20FFCADE" w14:textId="10166A9D" w:rsidR="00BD0302" w:rsidRDefault="00BD0302" w:rsidP="0007657F">
      <w:pPr>
        <w:rPr>
          <w:rFonts w:ascii="Times New Roman" w:hAnsi="Times New Roman" w:cs="Times New Roman"/>
        </w:rPr>
      </w:pPr>
    </w:p>
    <w:p w14:paraId="4704B2D8" w14:textId="1A4DEFF3" w:rsidR="00BD0302" w:rsidRDefault="00BD0302" w:rsidP="0007657F">
      <w:pPr>
        <w:rPr>
          <w:rFonts w:ascii="Times New Roman" w:hAnsi="Times New Roman" w:cs="Times New Roman"/>
        </w:rPr>
      </w:pPr>
    </w:p>
    <w:p w14:paraId="3AFAEAD6" w14:textId="470FD800" w:rsidR="00BD0302" w:rsidRDefault="00BD0302" w:rsidP="0007657F">
      <w:pPr>
        <w:rPr>
          <w:rFonts w:ascii="Times New Roman" w:hAnsi="Times New Roman" w:cs="Times New Roman"/>
        </w:rPr>
      </w:pPr>
    </w:p>
    <w:p w14:paraId="45DE640C" w14:textId="7FB0F759" w:rsidR="00BD0302" w:rsidRDefault="00BD0302" w:rsidP="0007657F">
      <w:pPr>
        <w:rPr>
          <w:rFonts w:ascii="Times New Roman" w:hAnsi="Times New Roman" w:cs="Times New Roman"/>
        </w:rPr>
      </w:pPr>
    </w:p>
    <w:p w14:paraId="430E0D1D" w14:textId="0D19EE13" w:rsidR="00BD0302" w:rsidRDefault="00BD0302" w:rsidP="0007657F">
      <w:pPr>
        <w:rPr>
          <w:rFonts w:ascii="Times New Roman" w:hAnsi="Times New Roman" w:cs="Times New Roman"/>
        </w:rPr>
      </w:pPr>
    </w:p>
    <w:p w14:paraId="36CF0EE4" w14:textId="407B1F50" w:rsidR="00BD0302" w:rsidRDefault="00BD0302" w:rsidP="0007657F">
      <w:pPr>
        <w:rPr>
          <w:rFonts w:ascii="Times New Roman" w:hAnsi="Times New Roman" w:cs="Times New Roman"/>
        </w:rPr>
      </w:pPr>
    </w:p>
    <w:p w14:paraId="4E6D1BC6" w14:textId="4ACF615B" w:rsidR="00BD0302" w:rsidRDefault="00BD0302" w:rsidP="0007657F">
      <w:pPr>
        <w:rPr>
          <w:rFonts w:ascii="Times New Roman" w:hAnsi="Times New Roman" w:cs="Times New Roman"/>
        </w:rPr>
      </w:pPr>
    </w:p>
    <w:p w14:paraId="079003AB" w14:textId="3AE97995" w:rsidR="00BD0302" w:rsidRDefault="00BD0302" w:rsidP="0007657F">
      <w:pPr>
        <w:rPr>
          <w:rFonts w:ascii="Times New Roman" w:hAnsi="Times New Roman" w:cs="Times New Roman"/>
        </w:rPr>
      </w:pPr>
    </w:p>
    <w:p w14:paraId="67A35901" w14:textId="77777777" w:rsidR="00BD0302" w:rsidRDefault="00BD0302" w:rsidP="00BD0302">
      <w:pPr>
        <w:pStyle w:val="BodyText2"/>
        <w:rPr>
          <w:rFonts w:ascii="Times New Roman" w:hAnsi="Times New Roman" w:cs="Times New Roman"/>
          <w:b w:val="0"/>
          <w:sz w:val="24"/>
          <w:szCs w:val="24"/>
        </w:rPr>
      </w:pPr>
      <w:r>
        <w:rPr>
          <w:rFonts w:ascii="Times New Roman" w:hAnsi="Times New Roman" w:cs="Times New Roman"/>
          <w:b w:val="0"/>
          <w:sz w:val="24"/>
          <w:szCs w:val="24"/>
        </w:rPr>
        <w:lastRenderedPageBreak/>
        <w:t>ASSESSMENT OF ANTIBIOTIC DURATION THROUGH TRANSITION OF CARE FROM HOSPITALIZATION TO OUTPATIENT</w:t>
      </w:r>
    </w:p>
    <w:p w14:paraId="009A69A9" w14:textId="77777777" w:rsidR="00BD0302" w:rsidRDefault="00BD0302" w:rsidP="00BD0302">
      <w:pPr>
        <w:pStyle w:val="BodyText2"/>
        <w:rPr>
          <w:rFonts w:ascii="Times New Roman" w:hAnsi="Times New Roman" w:cs="Times New Roman"/>
          <w:b w:val="0"/>
          <w:sz w:val="24"/>
          <w:szCs w:val="24"/>
        </w:rPr>
      </w:pPr>
    </w:p>
    <w:p w14:paraId="3ED43A42" w14:textId="77777777" w:rsidR="00BD0302" w:rsidRDefault="00BD0302" w:rsidP="00BD0302">
      <w:pPr>
        <w:rPr>
          <w:rFonts w:ascii="Times New Roman" w:hAnsi="Times New Roman" w:cs="Times New Roman"/>
          <w:bCs/>
          <w:sz w:val="24"/>
          <w:szCs w:val="24"/>
        </w:rPr>
      </w:pPr>
      <w:r>
        <w:rPr>
          <w:rFonts w:ascii="Times New Roman" w:hAnsi="Times New Roman" w:cs="Times New Roman"/>
          <w:bCs/>
        </w:rPr>
        <w:t>French K*, Scott R, Delisle J, Titus R, Sogoian D</w:t>
      </w:r>
    </w:p>
    <w:p w14:paraId="6ECBC2DA" w14:textId="77777777" w:rsidR="00BD0302" w:rsidRDefault="00BD0302" w:rsidP="00BD0302">
      <w:pPr>
        <w:rPr>
          <w:rFonts w:ascii="Times New Roman" w:hAnsi="Times New Roman" w:cs="Times New Roman"/>
          <w:bCs/>
        </w:rPr>
      </w:pPr>
    </w:p>
    <w:p w14:paraId="19FF1870" w14:textId="77777777" w:rsidR="00BD0302" w:rsidRDefault="00BD0302" w:rsidP="00BD0302">
      <w:pPr>
        <w:rPr>
          <w:rFonts w:ascii="Times New Roman" w:hAnsi="Times New Roman" w:cs="Times New Roman"/>
          <w:bCs/>
        </w:rPr>
      </w:pPr>
      <w:r>
        <w:rPr>
          <w:rFonts w:ascii="Times New Roman" w:hAnsi="Times New Roman" w:cs="Times New Roman"/>
          <w:bCs/>
        </w:rPr>
        <w:t>Canton-Potsdam Hospital, 50 Leroy Street, Potsdam, NY 13676</w:t>
      </w:r>
    </w:p>
    <w:p w14:paraId="6A59423F" w14:textId="77777777" w:rsidR="00BD0302" w:rsidRDefault="00BD0302" w:rsidP="00BD0302">
      <w:pPr>
        <w:rPr>
          <w:rFonts w:ascii="Times New Roman" w:hAnsi="Times New Roman" w:cs="Times New Roman"/>
          <w:bCs/>
        </w:rPr>
      </w:pPr>
    </w:p>
    <w:p w14:paraId="7D4F689D" w14:textId="77777777" w:rsidR="00BD0302" w:rsidRDefault="00BD0302" w:rsidP="00BD0302">
      <w:pPr>
        <w:rPr>
          <w:rFonts w:ascii="Times New Roman" w:hAnsi="Times New Roman" w:cs="Times New Roman"/>
          <w:b/>
          <w:bCs/>
        </w:rPr>
      </w:pPr>
      <w:r>
        <w:rPr>
          <w:rFonts w:ascii="Times New Roman" w:hAnsi="Times New Roman" w:cs="Times New Roman"/>
          <w:b/>
          <w:bCs/>
        </w:rPr>
        <w:t>Background:</w:t>
      </w:r>
      <w:r>
        <w:rPr>
          <w:rFonts w:ascii="Times New Roman" w:hAnsi="Times New Roman" w:cs="Times New Roman"/>
        </w:rPr>
        <w:t xml:space="preserve"> Common bacterial infections, including urinary tract infections, pneumonia, and skin and soft tissue infections, may require hospitalization for initial treatment with transition to oral antibiotics post discharge. Antimicrobial stewardship programs have improved antibiotic selection, however appropriateness of duration requires additional evaluation. Evidence-based recommended durations of antibiotic treatment are based upon type of infection, source control, and antibiotic selection.  Inappropriate treatment duration may result in treatment failure, adverse events, and/or increased healthcare costs. This study was designed to assess the appropriateness of antimicrobial durations prescribed at discharge in a rural, community hospital. </w:t>
      </w:r>
    </w:p>
    <w:p w14:paraId="6A6D474B" w14:textId="77777777" w:rsidR="00BD0302" w:rsidRDefault="00BD0302" w:rsidP="00BD0302">
      <w:pPr>
        <w:rPr>
          <w:rFonts w:ascii="Times New Roman" w:hAnsi="Times New Roman" w:cs="Times New Roman"/>
        </w:rPr>
      </w:pPr>
    </w:p>
    <w:p w14:paraId="7D54F69D" w14:textId="77777777" w:rsidR="00BD0302" w:rsidRDefault="00BD0302" w:rsidP="00BD0302">
      <w:pPr>
        <w:rPr>
          <w:rFonts w:ascii="Times New Roman" w:hAnsi="Times New Roman" w:cs="Times New Roman"/>
          <w:b/>
          <w:bCs/>
        </w:rPr>
      </w:pPr>
      <w:r>
        <w:rPr>
          <w:rFonts w:ascii="Times New Roman" w:hAnsi="Times New Roman" w:cs="Times New Roman"/>
          <w:b/>
          <w:bCs/>
        </w:rPr>
        <w:t xml:space="preserve">Objective: </w:t>
      </w:r>
      <w:r>
        <w:rPr>
          <w:rFonts w:ascii="Times New Roman" w:hAnsi="Times New Roman" w:cs="Times New Roman"/>
          <w:bCs/>
        </w:rPr>
        <w:t xml:space="preserve">To assess the appropriateness of antibiotic duration prescribed throughout transition from inpatient to outpatient treatment per </w:t>
      </w:r>
      <w:r>
        <w:rPr>
          <w:rFonts w:ascii="Times New Roman" w:hAnsi="Times New Roman" w:cs="Times New Roman"/>
        </w:rPr>
        <w:t>Infectious Diseases Society of America (IDSA) Guidelines.</w:t>
      </w:r>
      <w:r>
        <w:rPr>
          <w:rFonts w:ascii="Times New Roman" w:hAnsi="Times New Roman" w:cs="Times New Roman"/>
          <w:bCs/>
        </w:rPr>
        <w:t xml:space="preserve"> </w:t>
      </w:r>
    </w:p>
    <w:p w14:paraId="3F85D43B" w14:textId="77777777" w:rsidR="00BD0302" w:rsidRDefault="00BD0302" w:rsidP="00BD0302">
      <w:pPr>
        <w:rPr>
          <w:rFonts w:ascii="Times New Roman" w:hAnsi="Times New Roman" w:cs="Times New Roman"/>
        </w:rPr>
      </w:pPr>
    </w:p>
    <w:p w14:paraId="0C2BA431" w14:textId="77777777" w:rsidR="00BD0302" w:rsidRDefault="00BD0302" w:rsidP="00BD0302">
      <w:pPr>
        <w:rPr>
          <w:rFonts w:ascii="Times New Roman" w:hAnsi="Times New Roman" w:cs="Times New Roman"/>
          <w:b/>
          <w:bCs/>
        </w:rPr>
      </w:pPr>
      <w:r>
        <w:rPr>
          <w:rFonts w:ascii="Times New Roman" w:hAnsi="Times New Roman" w:cs="Times New Roman"/>
          <w:b/>
          <w:bCs/>
        </w:rPr>
        <w:t xml:space="preserve">Methods: </w:t>
      </w:r>
      <w:r>
        <w:rPr>
          <w:rFonts w:ascii="Times New Roman" w:hAnsi="Times New Roman" w:cs="Times New Roman"/>
        </w:rPr>
        <w:t xml:space="preserve">A retrospective chart review was performed to identify patients’ admitted inpatient for treatment of a </w:t>
      </w:r>
      <w:r>
        <w:rPr>
          <w:rFonts w:ascii="Times New Roman" w:hAnsi="Times New Roman" w:cs="Times New Roman"/>
          <w:bCs/>
        </w:rPr>
        <w:t>urinary tract infection, pneumonia, or skin and soft tissue infection and were discharged with orders for outpatient, oral antibiotics to complete treatment. Appropriate antibiotic duration was assessed with day one of treatment</w:t>
      </w:r>
      <w:r>
        <w:rPr>
          <w:rFonts w:ascii="Times New Roman" w:hAnsi="Times New Roman" w:cs="Times New Roman"/>
        </w:rPr>
        <w:t xml:space="preserve"> considered the first day of appropriate antibiotic therapy. Data was analyzed for significance using a chi squared statistical test for each disease state. Clinical data was retrieved with the approval of the Institutional Review Board. </w:t>
      </w:r>
    </w:p>
    <w:p w14:paraId="0146AD98" w14:textId="77777777" w:rsidR="00BD0302" w:rsidRDefault="00BD0302" w:rsidP="00BD0302">
      <w:pPr>
        <w:rPr>
          <w:rFonts w:ascii="Times New Roman" w:hAnsi="Times New Roman" w:cs="Times New Roman"/>
        </w:rPr>
      </w:pPr>
    </w:p>
    <w:p w14:paraId="0F7E3FC4" w14:textId="77777777" w:rsidR="00BD0302" w:rsidRDefault="00BD0302" w:rsidP="00BD0302">
      <w:pPr>
        <w:rPr>
          <w:rFonts w:ascii="Times New Roman" w:hAnsi="Times New Roman" w:cs="Times New Roman"/>
        </w:rPr>
      </w:pPr>
      <w:r>
        <w:rPr>
          <w:rFonts w:ascii="Times New Roman" w:hAnsi="Times New Roman" w:cs="Times New Roman"/>
          <w:b/>
          <w:bCs/>
        </w:rPr>
        <w:t>Results</w:t>
      </w:r>
      <w:r>
        <w:rPr>
          <w:rFonts w:ascii="Times New Roman" w:hAnsi="Times New Roman" w:cs="Times New Roman"/>
        </w:rPr>
        <w:t xml:space="preserve">: </w:t>
      </w:r>
    </w:p>
    <w:p w14:paraId="796107BC" w14:textId="77777777" w:rsidR="00BD0302" w:rsidRDefault="00BD0302" w:rsidP="00BD0302">
      <w:pPr>
        <w:rPr>
          <w:rFonts w:ascii="Times New Roman" w:hAnsi="Times New Roman" w:cs="Times New Roman"/>
        </w:rPr>
      </w:pPr>
      <w:r>
        <w:rPr>
          <w:rFonts w:ascii="Times New Roman" w:hAnsi="Times New Roman" w:cs="Times New Roman"/>
          <w:i/>
          <w:iCs/>
        </w:rPr>
        <w:t>In progress</w:t>
      </w:r>
    </w:p>
    <w:p w14:paraId="1A72B238" w14:textId="77777777" w:rsidR="00BD0302" w:rsidRDefault="00BD0302" w:rsidP="00BD0302">
      <w:pPr>
        <w:rPr>
          <w:rFonts w:ascii="Times New Roman" w:hAnsi="Times New Roman" w:cs="Times New Roman"/>
        </w:rPr>
      </w:pPr>
    </w:p>
    <w:p w14:paraId="3D2BD467" w14:textId="77777777" w:rsidR="00BD0302" w:rsidRDefault="00BD0302" w:rsidP="00BD0302">
      <w:pPr>
        <w:rPr>
          <w:rFonts w:ascii="Times New Roman" w:hAnsi="Times New Roman" w:cs="Times New Roman"/>
        </w:rPr>
      </w:pPr>
      <w:r>
        <w:rPr>
          <w:rFonts w:ascii="Times New Roman" w:hAnsi="Times New Roman" w:cs="Times New Roman"/>
          <w:b/>
          <w:bCs/>
        </w:rPr>
        <w:t>Conclusions</w:t>
      </w:r>
      <w:r>
        <w:rPr>
          <w:rFonts w:ascii="Times New Roman" w:hAnsi="Times New Roman" w:cs="Times New Roman"/>
        </w:rPr>
        <w:t>:</w:t>
      </w:r>
    </w:p>
    <w:p w14:paraId="558046E3" w14:textId="77777777" w:rsidR="00BD0302" w:rsidRDefault="00BD0302" w:rsidP="00BD0302">
      <w:pPr>
        <w:rPr>
          <w:rFonts w:ascii="Times New Roman" w:hAnsi="Times New Roman" w:cs="Times New Roman"/>
          <w:i/>
          <w:iCs/>
        </w:rPr>
      </w:pPr>
      <w:r>
        <w:rPr>
          <w:rFonts w:ascii="Times New Roman" w:hAnsi="Times New Roman" w:cs="Times New Roman"/>
          <w:i/>
          <w:iCs/>
        </w:rPr>
        <w:t xml:space="preserve">In progress </w:t>
      </w:r>
    </w:p>
    <w:p w14:paraId="29EA2764" w14:textId="6B19ACA7" w:rsidR="00BD0302" w:rsidRDefault="00BD0302" w:rsidP="0007657F">
      <w:pPr>
        <w:rPr>
          <w:rFonts w:ascii="Times New Roman" w:hAnsi="Times New Roman" w:cs="Times New Roman"/>
        </w:rPr>
      </w:pPr>
    </w:p>
    <w:p w14:paraId="53016D37" w14:textId="78C7C798" w:rsidR="00BD0302" w:rsidRDefault="00BD0302" w:rsidP="0007657F">
      <w:pPr>
        <w:rPr>
          <w:rFonts w:ascii="Times New Roman" w:hAnsi="Times New Roman" w:cs="Times New Roman"/>
        </w:rPr>
      </w:pPr>
    </w:p>
    <w:p w14:paraId="234112A6" w14:textId="12752AAC" w:rsidR="00BD0302" w:rsidRDefault="00BD0302" w:rsidP="0007657F">
      <w:pPr>
        <w:rPr>
          <w:rFonts w:ascii="Times New Roman" w:hAnsi="Times New Roman" w:cs="Times New Roman"/>
        </w:rPr>
      </w:pPr>
    </w:p>
    <w:p w14:paraId="33F2BD16" w14:textId="024CBC1A" w:rsidR="00BD0302" w:rsidRDefault="00BD0302" w:rsidP="0007657F">
      <w:pPr>
        <w:rPr>
          <w:rFonts w:ascii="Times New Roman" w:hAnsi="Times New Roman" w:cs="Times New Roman"/>
        </w:rPr>
      </w:pPr>
    </w:p>
    <w:p w14:paraId="204C7213" w14:textId="2FC103A4" w:rsidR="00BD0302" w:rsidRDefault="00BD0302" w:rsidP="0007657F">
      <w:pPr>
        <w:rPr>
          <w:rFonts w:ascii="Times New Roman" w:hAnsi="Times New Roman" w:cs="Times New Roman"/>
        </w:rPr>
      </w:pPr>
    </w:p>
    <w:p w14:paraId="3E8658CF" w14:textId="77777777" w:rsidR="00BD0302" w:rsidRDefault="00BD0302" w:rsidP="00BD030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SECONDARY SUPERIMPOSED BACTERIAL INFECTIONS IN SARS-COV-2 PATIENTS: ARE WE MISSING THE BUG?</w:t>
      </w:r>
    </w:p>
    <w:p w14:paraId="4309CD13" w14:textId="77777777" w:rsidR="00BD0302" w:rsidRDefault="00BD0302" w:rsidP="00BD0302">
      <w:pPr>
        <w:spacing w:line="240" w:lineRule="auto"/>
        <w:contextualSpacing/>
        <w:rPr>
          <w:rFonts w:ascii="Times New Roman" w:hAnsi="Times New Roman" w:cs="Times New Roman"/>
          <w:sz w:val="24"/>
          <w:szCs w:val="24"/>
        </w:rPr>
      </w:pPr>
    </w:p>
    <w:p w14:paraId="6A0D1D81" w14:textId="77777777" w:rsidR="00BD0302" w:rsidRDefault="00BD0302" w:rsidP="00BD0302">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Fritch J*</w:t>
      </w:r>
      <w:r>
        <w:rPr>
          <w:rFonts w:ascii="Times New Roman" w:hAnsi="Times New Roman" w:cs="Times New Roman"/>
          <w:sz w:val="24"/>
          <w:szCs w:val="24"/>
        </w:rPr>
        <w:t xml:space="preserve">, Pharm. D., </w:t>
      </w:r>
      <w:r>
        <w:rPr>
          <w:rFonts w:ascii="Times New Roman" w:hAnsi="Times New Roman" w:cs="Times New Roman"/>
          <w:sz w:val="24"/>
          <w:szCs w:val="24"/>
          <w:u w:val="single"/>
        </w:rPr>
        <w:t>Lombardozzi M</w:t>
      </w:r>
      <w:r>
        <w:rPr>
          <w:rFonts w:ascii="Times New Roman" w:hAnsi="Times New Roman" w:cs="Times New Roman"/>
          <w:sz w:val="24"/>
          <w:szCs w:val="24"/>
        </w:rPr>
        <w:t xml:space="preserve">, Pharm. D., </w:t>
      </w:r>
      <w:r>
        <w:rPr>
          <w:rFonts w:ascii="Times New Roman" w:hAnsi="Times New Roman" w:cs="Times New Roman"/>
          <w:sz w:val="24"/>
          <w:szCs w:val="24"/>
          <w:u w:val="single"/>
        </w:rPr>
        <w:t>Liu A</w:t>
      </w:r>
      <w:r>
        <w:rPr>
          <w:rFonts w:ascii="Times New Roman" w:hAnsi="Times New Roman" w:cs="Times New Roman"/>
          <w:sz w:val="24"/>
          <w:szCs w:val="24"/>
        </w:rPr>
        <w:t xml:space="preserve">, </w:t>
      </w:r>
      <w:r>
        <w:rPr>
          <w:rFonts w:ascii="Times New Roman" w:hAnsi="Times New Roman" w:cs="Times New Roman"/>
          <w:sz w:val="24"/>
          <w:szCs w:val="24"/>
          <w:u w:val="single"/>
        </w:rPr>
        <w:t>Stage P</w:t>
      </w:r>
      <w:r>
        <w:rPr>
          <w:rFonts w:ascii="Times New Roman" w:hAnsi="Times New Roman" w:cs="Times New Roman"/>
          <w:sz w:val="24"/>
          <w:szCs w:val="24"/>
        </w:rPr>
        <w:t xml:space="preserve">, </w:t>
      </w:r>
      <w:r>
        <w:rPr>
          <w:rFonts w:ascii="Times New Roman" w:hAnsi="Times New Roman" w:cs="Times New Roman"/>
          <w:sz w:val="24"/>
          <w:szCs w:val="24"/>
          <w:u w:val="single"/>
        </w:rPr>
        <w:t>Daigler B</w:t>
      </w:r>
      <w:r>
        <w:rPr>
          <w:rFonts w:ascii="Times New Roman" w:hAnsi="Times New Roman" w:cs="Times New Roman"/>
          <w:sz w:val="24"/>
          <w:szCs w:val="24"/>
        </w:rPr>
        <w:t xml:space="preserve">, Pharm. D., BCPS, BCIDP, </w:t>
      </w:r>
      <w:r>
        <w:rPr>
          <w:rFonts w:ascii="Times New Roman" w:hAnsi="Times New Roman" w:cs="Times New Roman"/>
          <w:sz w:val="24"/>
          <w:szCs w:val="24"/>
          <w:u w:val="single"/>
        </w:rPr>
        <w:t>Said M</w:t>
      </w:r>
      <w:r>
        <w:rPr>
          <w:rFonts w:ascii="Times New Roman" w:hAnsi="Times New Roman" w:cs="Times New Roman"/>
          <w:sz w:val="24"/>
          <w:szCs w:val="24"/>
        </w:rPr>
        <w:t xml:space="preserve">, Pharm. D., BCPS, BCIDP, </w:t>
      </w:r>
      <w:r>
        <w:rPr>
          <w:rFonts w:ascii="Times New Roman" w:hAnsi="Times New Roman" w:cs="Times New Roman"/>
          <w:sz w:val="24"/>
          <w:szCs w:val="24"/>
          <w:u w:val="single"/>
        </w:rPr>
        <w:t>Vink T</w:t>
      </w:r>
      <w:r>
        <w:rPr>
          <w:rFonts w:ascii="Times New Roman" w:hAnsi="Times New Roman" w:cs="Times New Roman"/>
          <w:sz w:val="24"/>
          <w:szCs w:val="24"/>
        </w:rPr>
        <w:t xml:space="preserve">, Pharm. D., BCPS, MAOL, </w:t>
      </w:r>
      <w:r>
        <w:rPr>
          <w:rFonts w:ascii="Times New Roman" w:hAnsi="Times New Roman" w:cs="Times New Roman"/>
          <w:sz w:val="24"/>
          <w:szCs w:val="24"/>
          <w:u w:val="single"/>
        </w:rPr>
        <w:t>Cha R</w:t>
      </w:r>
      <w:r>
        <w:rPr>
          <w:rFonts w:ascii="Times New Roman" w:hAnsi="Times New Roman" w:cs="Times New Roman"/>
          <w:sz w:val="24"/>
          <w:szCs w:val="24"/>
        </w:rPr>
        <w:t>, Pharm. D.</w:t>
      </w:r>
    </w:p>
    <w:p w14:paraId="1431C245" w14:textId="77777777" w:rsidR="00BD0302" w:rsidRDefault="00BD0302" w:rsidP="00BD0302">
      <w:pPr>
        <w:spacing w:line="240" w:lineRule="auto"/>
        <w:contextualSpacing/>
        <w:rPr>
          <w:rFonts w:ascii="Times New Roman" w:hAnsi="Times New Roman" w:cs="Times New Roman"/>
          <w:sz w:val="24"/>
          <w:szCs w:val="24"/>
        </w:rPr>
      </w:pPr>
    </w:p>
    <w:p w14:paraId="53F693D4" w14:textId="77777777" w:rsidR="00BD0302" w:rsidRDefault="00BD0302" w:rsidP="00BD0302">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Sisters of Charity Hospital, 2157 Main St., Buffalo, NY 14214</w:t>
      </w:r>
    </w:p>
    <w:p w14:paraId="3591FFC9" w14:textId="77777777" w:rsidR="00BD0302" w:rsidRDefault="00BD0302" w:rsidP="00BD0302">
      <w:pPr>
        <w:spacing w:line="240" w:lineRule="auto"/>
        <w:contextualSpacing/>
        <w:rPr>
          <w:rFonts w:ascii="Times New Roman" w:hAnsi="Times New Roman" w:cs="Times New Roman"/>
          <w:sz w:val="24"/>
          <w:szCs w:val="24"/>
        </w:rPr>
      </w:pPr>
    </w:p>
    <w:p w14:paraId="3D0E9EB5" w14:textId="77777777" w:rsidR="00BD0302" w:rsidRDefault="00BD0302" w:rsidP="00BD0302">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Background</w:t>
      </w:r>
      <w:r>
        <w:rPr>
          <w:rFonts w:ascii="Times New Roman" w:hAnsi="Times New Roman" w:cs="Times New Roman"/>
          <w:sz w:val="24"/>
          <w:szCs w:val="24"/>
        </w:rPr>
        <w:t xml:space="preserve">: Many SARS-CoV-2 positive-associated respiratory illnesses are treated with antibiotics due to the unknown incidence of bacterial co-infection and conventional empiric inpatient management. To date, there is sparse information on secondary bacterial infections in this patient population. </w:t>
      </w:r>
    </w:p>
    <w:p w14:paraId="74EB53AD" w14:textId="77777777" w:rsidR="00BD0302" w:rsidRDefault="00BD0302" w:rsidP="00BD0302">
      <w:pPr>
        <w:spacing w:line="240" w:lineRule="auto"/>
        <w:contextualSpacing/>
        <w:rPr>
          <w:rFonts w:ascii="Times New Roman" w:hAnsi="Times New Roman" w:cs="Times New Roman"/>
          <w:sz w:val="24"/>
          <w:szCs w:val="24"/>
        </w:rPr>
      </w:pPr>
    </w:p>
    <w:p w14:paraId="02F61075" w14:textId="77777777" w:rsidR="00BD0302" w:rsidRDefault="00BD0302" w:rsidP="00BD0302">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Objective: </w:t>
      </w:r>
      <w:r>
        <w:rPr>
          <w:rFonts w:ascii="Times New Roman" w:hAnsi="Times New Roman" w:cs="Times New Roman"/>
          <w:sz w:val="24"/>
          <w:szCs w:val="24"/>
        </w:rPr>
        <w:t>The primary objective of this study was to analyze patient clinical characteristics and objective laboratory data of secondary bacterial respiratory tract infections in confirmed SARS-CoV-2 inpatients.</w:t>
      </w:r>
    </w:p>
    <w:p w14:paraId="34E20EAE" w14:textId="77777777" w:rsidR="00BD0302" w:rsidRDefault="00BD0302" w:rsidP="00BD0302">
      <w:pPr>
        <w:spacing w:line="240" w:lineRule="auto"/>
        <w:contextualSpacing/>
        <w:rPr>
          <w:rFonts w:ascii="Times New Roman" w:hAnsi="Times New Roman" w:cs="Times New Roman"/>
          <w:sz w:val="24"/>
          <w:szCs w:val="24"/>
        </w:rPr>
      </w:pPr>
    </w:p>
    <w:p w14:paraId="5F59E933" w14:textId="77777777" w:rsidR="00BD0302" w:rsidRDefault="00BD0302" w:rsidP="00BD0302">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Methods</w:t>
      </w:r>
      <w:r>
        <w:rPr>
          <w:rFonts w:ascii="Times New Roman" w:hAnsi="Times New Roman" w:cs="Times New Roman"/>
          <w:sz w:val="24"/>
          <w:szCs w:val="24"/>
        </w:rPr>
        <w:t>: This was a multi-centered, retrospective, observational study performed at the Catholic Health System. Data including demographics, comorbidities, basic metabolic panel, blood counts, microbiologic results, symptomology, and medications utilized was collected through manual chart review in the electronic medical record. Logistic regression was applied to determine factors associated with patients with positive bacterial cultures.</w:t>
      </w:r>
    </w:p>
    <w:p w14:paraId="17543F05" w14:textId="77777777" w:rsidR="00BD0302" w:rsidRDefault="00BD0302" w:rsidP="00BD0302">
      <w:pPr>
        <w:spacing w:line="240" w:lineRule="auto"/>
        <w:contextualSpacing/>
        <w:rPr>
          <w:rFonts w:ascii="Times New Roman" w:hAnsi="Times New Roman" w:cs="Times New Roman"/>
          <w:sz w:val="24"/>
          <w:szCs w:val="24"/>
        </w:rPr>
      </w:pPr>
    </w:p>
    <w:p w14:paraId="16024F1A" w14:textId="77777777" w:rsidR="00BD0302" w:rsidRDefault="00BD0302" w:rsidP="00BD0302">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Results</w:t>
      </w:r>
      <w:r>
        <w:rPr>
          <w:rFonts w:ascii="Times New Roman" w:hAnsi="Times New Roman" w:cs="Times New Roman"/>
          <w:sz w:val="24"/>
          <w:szCs w:val="24"/>
        </w:rPr>
        <w:t xml:space="preserve">: Of the 185 participants included in this study, 20% of patients had a positive bacterial respiratory culture, whereas 8% had a positive bacterial blood culture. </w:t>
      </w:r>
      <w:r>
        <w:rPr>
          <w:rFonts w:ascii="Times New Roman" w:hAnsi="Times New Roman" w:cs="Times New Roman"/>
          <w:i/>
          <w:sz w:val="24"/>
          <w:szCs w:val="24"/>
        </w:rPr>
        <w:t>Methicillin resistant staphylococcus aureus</w:t>
      </w:r>
      <w:r>
        <w:rPr>
          <w:rFonts w:ascii="Times New Roman" w:hAnsi="Times New Roman" w:cs="Times New Roman"/>
          <w:sz w:val="24"/>
          <w:szCs w:val="24"/>
        </w:rPr>
        <w:t xml:space="preserve"> and </w:t>
      </w:r>
      <w:r>
        <w:rPr>
          <w:rFonts w:ascii="Times New Roman" w:hAnsi="Times New Roman" w:cs="Times New Roman"/>
          <w:i/>
          <w:sz w:val="24"/>
          <w:szCs w:val="24"/>
        </w:rPr>
        <w:t xml:space="preserve">methicillin susceptible staphylococcus aureus </w:t>
      </w:r>
      <w:r>
        <w:rPr>
          <w:rFonts w:ascii="Times New Roman" w:hAnsi="Times New Roman" w:cs="Times New Roman"/>
          <w:sz w:val="24"/>
          <w:szCs w:val="24"/>
        </w:rPr>
        <w:t>were among the most common pathogens in respiratory cultures, representing 21% each. The most common antibiotics used to treat inpatients were cephalosporin (35%) and macrolide (29%) antibiotics. Length of stay &gt;14 days, intubation, and ventilator days &gt;10 days were noted risks.</w:t>
      </w:r>
    </w:p>
    <w:p w14:paraId="71A15955" w14:textId="77777777" w:rsidR="00BD0302" w:rsidRDefault="00BD0302" w:rsidP="00BD0302">
      <w:pPr>
        <w:spacing w:line="240" w:lineRule="auto"/>
        <w:contextualSpacing/>
        <w:rPr>
          <w:rFonts w:ascii="Times New Roman" w:hAnsi="Times New Roman" w:cs="Times New Roman"/>
          <w:sz w:val="24"/>
          <w:szCs w:val="24"/>
        </w:rPr>
      </w:pPr>
    </w:p>
    <w:p w14:paraId="55ECF742" w14:textId="77777777" w:rsidR="00BD0302" w:rsidRDefault="00BD0302" w:rsidP="00BD0302">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Conclusions</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These results confirm the continued concern of secondary bacterial co-infections in hospitalized patients with SARS-CoV-2. Several factors such as hospital duration, intubation, and ventilation duration were associated with co-infection. This cohort sampling may suggest additional consideration for expanded empiric approaches that include respiratory MRSA pathogens. Further evidence would enhance rationale for empiric antibacterial therapy.</w:t>
      </w:r>
    </w:p>
    <w:p w14:paraId="1AB58206" w14:textId="7ED66FAC" w:rsidR="00BD0302" w:rsidRDefault="00BD0302" w:rsidP="0007657F">
      <w:pPr>
        <w:rPr>
          <w:rFonts w:ascii="Times New Roman" w:hAnsi="Times New Roman" w:cs="Times New Roman"/>
        </w:rPr>
      </w:pPr>
    </w:p>
    <w:p w14:paraId="03870B61" w14:textId="6ECC3F4F" w:rsidR="00BD0302" w:rsidRDefault="00BD0302" w:rsidP="0007657F">
      <w:pPr>
        <w:rPr>
          <w:rFonts w:ascii="Times New Roman" w:hAnsi="Times New Roman" w:cs="Times New Roman"/>
        </w:rPr>
      </w:pPr>
    </w:p>
    <w:p w14:paraId="2CA5A6F2" w14:textId="6A026575" w:rsidR="00BD0302" w:rsidRDefault="00BD0302" w:rsidP="0007657F">
      <w:pPr>
        <w:rPr>
          <w:rFonts w:ascii="Times New Roman" w:hAnsi="Times New Roman" w:cs="Times New Roman"/>
        </w:rPr>
      </w:pPr>
    </w:p>
    <w:p w14:paraId="78FB27A5" w14:textId="562CE598" w:rsidR="00BD0302" w:rsidRDefault="00BD0302" w:rsidP="0007657F">
      <w:pPr>
        <w:rPr>
          <w:rFonts w:ascii="Times New Roman" w:hAnsi="Times New Roman" w:cs="Times New Roman"/>
        </w:rPr>
      </w:pPr>
    </w:p>
    <w:p w14:paraId="1370CD6A" w14:textId="69852323" w:rsidR="00BD0302" w:rsidRDefault="00BD0302" w:rsidP="0007657F">
      <w:pPr>
        <w:rPr>
          <w:rFonts w:ascii="Times New Roman" w:hAnsi="Times New Roman" w:cs="Times New Roman"/>
        </w:rPr>
      </w:pPr>
    </w:p>
    <w:p w14:paraId="33A1E86E" w14:textId="655EA152" w:rsidR="00BD0302" w:rsidRDefault="00BD0302" w:rsidP="0007657F">
      <w:pPr>
        <w:rPr>
          <w:rFonts w:ascii="Times New Roman" w:hAnsi="Times New Roman" w:cs="Times New Roman"/>
        </w:rPr>
      </w:pPr>
    </w:p>
    <w:p w14:paraId="7A5FAD10" w14:textId="437F3CB1" w:rsidR="00BD0302" w:rsidRDefault="00BD0302" w:rsidP="0007657F">
      <w:pPr>
        <w:rPr>
          <w:rFonts w:ascii="Times New Roman" w:hAnsi="Times New Roman" w:cs="Times New Roman"/>
        </w:rPr>
      </w:pPr>
    </w:p>
    <w:p w14:paraId="0ACE7B80" w14:textId="77777777" w:rsidR="00BD0302" w:rsidRPr="00BD0302" w:rsidRDefault="00BD0302" w:rsidP="00BD0302">
      <w:pPr>
        <w:rPr>
          <w:rFonts w:ascii="Times New Roman" w:hAnsi="Times New Roman" w:cs="Times New Roman"/>
        </w:rPr>
      </w:pPr>
      <w:r w:rsidRPr="00BD0302">
        <w:rPr>
          <w:rFonts w:ascii="Times New Roman" w:hAnsi="Times New Roman" w:cs="Times New Roman"/>
        </w:rPr>
        <w:lastRenderedPageBreak/>
        <w:t>UTILIZING VANCOMYCIN AREA UNDER THE CURVE DOSING IN PATIENTS WITH METHICILLIN-RESISTANT</w:t>
      </w:r>
      <w:r w:rsidRPr="00BD0302">
        <w:rPr>
          <w:rFonts w:ascii="Times New Roman" w:hAnsi="Times New Roman" w:cs="Times New Roman"/>
          <w:i/>
          <w:iCs/>
        </w:rPr>
        <w:t xml:space="preserve"> STAPHYLOCOCCUS AUREUS </w:t>
      </w:r>
      <w:r w:rsidRPr="00BD0302">
        <w:rPr>
          <w:rFonts w:ascii="Times New Roman" w:hAnsi="Times New Roman" w:cs="Times New Roman"/>
        </w:rPr>
        <w:t>BACTEREMIA</w:t>
      </w:r>
    </w:p>
    <w:p w14:paraId="2E648656" w14:textId="77777777" w:rsidR="00BD0302" w:rsidRPr="00BD0302" w:rsidRDefault="00BD0302" w:rsidP="00BD0302">
      <w:pPr>
        <w:rPr>
          <w:rFonts w:ascii="Times New Roman" w:hAnsi="Times New Roman" w:cs="Times New Roman"/>
          <w:u w:val="single"/>
        </w:rPr>
      </w:pPr>
      <w:r w:rsidRPr="00BD0302">
        <w:rPr>
          <w:rFonts w:ascii="Times New Roman" w:hAnsi="Times New Roman" w:cs="Times New Roman"/>
          <w:u w:val="single"/>
        </w:rPr>
        <w:t>Gajulapalli V</w:t>
      </w:r>
      <w:r w:rsidRPr="00BD0302">
        <w:rPr>
          <w:rFonts w:ascii="Times New Roman" w:hAnsi="Times New Roman" w:cs="Times New Roman"/>
        </w:rPr>
        <w:t xml:space="preserve">*, </w:t>
      </w:r>
      <w:r w:rsidRPr="00BD0302">
        <w:rPr>
          <w:rFonts w:ascii="Times New Roman" w:hAnsi="Times New Roman" w:cs="Times New Roman"/>
          <w:u w:val="single"/>
        </w:rPr>
        <w:t>Saunders-Hao P</w:t>
      </w:r>
      <w:r w:rsidRPr="00BD0302">
        <w:rPr>
          <w:rFonts w:ascii="Times New Roman" w:hAnsi="Times New Roman" w:cs="Times New Roman"/>
        </w:rPr>
        <w:t xml:space="preserve">, </w:t>
      </w:r>
      <w:r w:rsidRPr="00BD0302">
        <w:rPr>
          <w:rFonts w:ascii="Times New Roman" w:hAnsi="Times New Roman" w:cs="Times New Roman"/>
          <w:u w:val="single"/>
        </w:rPr>
        <w:t>Jain S</w:t>
      </w:r>
      <w:r w:rsidRPr="00BD0302">
        <w:rPr>
          <w:rFonts w:ascii="Times New Roman" w:hAnsi="Times New Roman" w:cs="Times New Roman"/>
        </w:rPr>
        <w:t xml:space="preserve">, </w:t>
      </w:r>
      <w:r w:rsidRPr="00BD0302">
        <w:rPr>
          <w:rFonts w:ascii="Times New Roman" w:hAnsi="Times New Roman" w:cs="Times New Roman"/>
          <w:u w:val="single"/>
        </w:rPr>
        <w:t>Luo E</w:t>
      </w:r>
      <w:r w:rsidRPr="00BD0302">
        <w:rPr>
          <w:rFonts w:ascii="Times New Roman" w:hAnsi="Times New Roman" w:cs="Times New Roman"/>
        </w:rPr>
        <w:t xml:space="preserve">, </w:t>
      </w:r>
      <w:r w:rsidRPr="00BD0302">
        <w:rPr>
          <w:rFonts w:ascii="Times New Roman" w:hAnsi="Times New Roman" w:cs="Times New Roman"/>
          <w:u w:val="single"/>
        </w:rPr>
        <w:t>Gautam-Goyal P</w:t>
      </w:r>
    </w:p>
    <w:p w14:paraId="61826ADB" w14:textId="77777777" w:rsidR="00BD0302" w:rsidRPr="00BD0302" w:rsidRDefault="00BD0302" w:rsidP="00BD0302">
      <w:pPr>
        <w:rPr>
          <w:rFonts w:ascii="Times New Roman" w:hAnsi="Times New Roman" w:cs="Times New Roman"/>
        </w:rPr>
      </w:pPr>
      <w:r w:rsidRPr="00BD0302">
        <w:rPr>
          <w:rFonts w:ascii="Times New Roman" w:hAnsi="Times New Roman" w:cs="Times New Roman"/>
        </w:rPr>
        <w:t>North Shore University Hospital, 300 Community Drive, Manhasset, NY 11030</w:t>
      </w:r>
    </w:p>
    <w:p w14:paraId="634A36B0" w14:textId="77777777" w:rsidR="00BD0302" w:rsidRPr="00BD0302" w:rsidRDefault="00BD0302" w:rsidP="00BD0302">
      <w:pPr>
        <w:rPr>
          <w:rFonts w:ascii="Times New Roman" w:hAnsi="Times New Roman" w:cs="Times New Roman"/>
          <w:b/>
          <w:bCs/>
        </w:rPr>
      </w:pPr>
      <w:r w:rsidRPr="00BD0302">
        <w:rPr>
          <w:rFonts w:ascii="Times New Roman" w:hAnsi="Times New Roman" w:cs="Times New Roman"/>
          <w:b/>
          <w:bCs/>
        </w:rPr>
        <w:t>Background</w:t>
      </w:r>
    </w:p>
    <w:p w14:paraId="3120E3B1" w14:textId="77777777" w:rsidR="00BD0302" w:rsidRPr="00BD0302" w:rsidRDefault="00BD0302" w:rsidP="00BD0302">
      <w:pPr>
        <w:rPr>
          <w:rFonts w:ascii="Times New Roman" w:hAnsi="Times New Roman" w:cs="Times New Roman"/>
        </w:rPr>
      </w:pPr>
      <w:r w:rsidRPr="00BD0302">
        <w:rPr>
          <w:rFonts w:ascii="Times New Roman" w:hAnsi="Times New Roman" w:cs="Times New Roman"/>
        </w:rPr>
        <w:t xml:space="preserve">Current IDSA guidelines recommend dosing vancomycin utilizing an area under the concentration-time curve to MIC (AUC/MIC) strategy with a target AUC/MIC ratio of 400 to 600. This strategy has been shown to increase treatment success and reduce vancomycin induced nephrotoxicity. Our hospital currently utilizes a trough-based strategy when dosing vancomycin. This study was done to implement a vancomycin AUC/MIC based dosing strategy and determine the clinical impact of this strategy at our institution. </w:t>
      </w:r>
    </w:p>
    <w:p w14:paraId="55CBCA67" w14:textId="77777777" w:rsidR="00BD0302" w:rsidRPr="00BD0302" w:rsidRDefault="00BD0302" w:rsidP="00BD0302">
      <w:pPr>
        <w:rPr>
          <w:rFonts w:ascii="Times New Roman" w:hAnsi="Times New Roman" w:cs="Times New Roman"/>
          <w:b/>
          <w:bCs/>
        </w:rPr>
      </w:pPr>
      <w:r w:rsidRPr="00BD0302">
        <w:rPr>
          <w:rFonts w:ascii="Times New Roman" w:hAnsi="Times New Roman" w:cs="Times New Roman"/>
          <w:b/>
          <w:bCs/>
        </w:rPr>
        <w:t>Objectives</w:t>
      </w:r>
    </w:p>
    <w:p w14:paraId="0620A7BD" w14:textId="77777777" w:rsidR="00BD0302" w:rsidRPr="00BD0302" w:rsidRDefault="00BD0302" w:rsidP="00BD0302">
      <w:pPr>
        <w:rPr>
          <w:rFonts w:ascii="Times New Roman" w:hAnsi="Times New Roman" w:cs="Times New Roman"/>
        </w:rPr>
      </w:pPr>
      <w:r w:rsidRPr="00BD0302">
        <w:rPr>
          <w:rFonts w:ascii="Times New Roman" w:hAnsi="Times New Roman" w:cs="Times New Roman"/>
        </w:rPr>
        <w:t xml:space="preserve">The purpose of this study was to evaluate a vancomycin AUC/MIC based dosing strategy in patients with methicillin resistant </w:t>
      </w:r>
      <w:r w:rsidRPr="00BD0302">
        <w:rPr>
          <w:rFonts w:ascii="Times New Roman" w:hAnsi="Times New Roman" w:cs="Times New Roman"/>
          <w:i/>
          <w:iCs/>
        </w:rPr>
        <w:t xml:space="preserve">Staphylococcus aureus </w:t>
      </w:r>
      <w:r w:rsidRPr="00BD0302">
        <w:rPr>
          <w:rFonts w:ascii="Times New Roman" w:hAnsi="Times New Roman" w:cs="Times New Roman"/>
        </w:rPr>
        <w:t xml:space="preserve">(MRSA) bacteremia and evaluate the incidence of nephrotoxicity compared to patients who received vancomycin via a trough-based dosing strategy. </w:t>
      </w:r>
    </w:p>
    <w:p w14:paraId="2DCFBABA" w14:textId="77777777" w:rsidR="00BD0302" w:rsidRPr="00BD0302" w:rsidRDefault="00BD0302" w:rsidP="00BD0302">
      <w:pPr>
        <w:rPr>
          <w:rFonts w:ascii="Times New Roman" w:hAnsi="Times New Roman" w:cs="Times New Roman"/>
          <w:b/>
          <w:bCs/>
        </w:rPr>
      </w:pPr>
      <w:r w:rsidRPr="00BD0302">
        <w:rPr>
          <w:rFonts w:ascii="Times New Roman" w:hAnsi="Times New Roman" w:cs="Times New Roman"/>
          <w:b/>
          <w:bCs/>
        </w:rPr>
        <w:t>Methods</w:t>
      </w:r>
    </w:p>
    <w:p w14:paraId="153B4CD6" w14:textId="77777777" w:rsidR="00BD0302" w:rsidRPr="00BD0302" w:rsidRDefault="00BD0302" w:rsidP="00BD0302">
      <w:pPr>
        <w:rPr>
          <w:rFonts w:ascii="Times New Roman" w:hAnsi="Times New Roman" w:cs="Times New Roman"/>
        </w:rPr>
      </w:pPr>
      <w:r w:rsidRPr="00BD0302">
        <w:rPr>
          <w:rFonts w:ascii="Times New Roman" w:hAnsi="Times New Roman" w:cs="Times New Roman"/>
        </w:rPr>
        <w:t>This study is a prospective, historical case control study. This study was approved by the institutional review board from the Feinstein Institute for Medical Research. Patients with MRSA bacteremia had their vancomycin dosed via an AUC/MIC strategy and were compared to patients receiving vancomycin dosed via a trough strategy. Baseline characteristics to be collected include age, gender, weight, ethnicity, serum creatinine, Pitt bacteremia score, source of MRSA bacteremia, any antibiotic in 72 hours preceding vancomycin, any other antibiotics in addition to vancomycin, and any drugs affecting kidney function within 48 hours of vancomycin. The primary outcome of this study is the incidence of acute kidney injury. The secondary outcomes of this study are severity of acute kidney injury, time to blood culture clearance, and vancomycin trough levels.</w:t>
      </w:r>
    </w:p>
    <w:p w14:paraId="1EFF6A5D" w14:textId="77777777" w:rsidR="00BD0302" w:rsidRPr="00BD0302" w:rsidRDefault="00BD0302" w:rsidP="00BD0302">
      <w:pPr>
        <w:rPr>
          <w:rFonts w:ascii="Times New Roman" w:hAnsi="Times New Roman" w:cs="Times New Roman"/>
          <w:b/>
          <w:bCs/>
        </w:rPr>
      </w:pPr>
      <w:r w:rsidRPr="00BD0302">
        <w:rPr>
          <w:rFonts w:ascii="Times New Roman" w:hAnsi="Times New Roman" w:cs="Times New Roman"/>
          <w:b/>
          <w:bCs/>
        </w:rPr>
        <w:t>Results</w:t>
      </w:r>
    </w:p>
    <w:p w14:paraId="47A0233D" w14:textId="77777777" w:rsidR="00BD0302" w:rsidRPr="00BD0302" w:rsidRDefault="00BD0302" w:rsidP="00BD0302">
      <w:pPr>
        <w:rPr>
          <w:rFonts w:ascii="Times New Roman" w:hAnsi="Times New Roman" w:cs="Times New Roman"/>
        </w:rPr>
      </w:pPr>
      <w:r w:rsidRPr="00BD0302">
        <w:rPr>
          <w:rFonts w:ascii="Times New Roman" w:hAnsi="Times New Roman" w:cs="Times New Roman"/>
        </w:rPr>
        <w:t>Research is currently in progress and results are pending.</w:t>
      </w:r>
    </w:p>
    <w:p w14:paraId="03483223" w14:textId="6574B080" w:rsidR="00BD0302" w:rsidRDefault="00BD0302" w:rsidP="0007657F">
      <w:pPr>
        <w:rPr>
          <w:rFonts w:ascii="Times New Roman" w:hAnsi="Times New Roman" w:cs="Times New Roman"/>
        </w:rPr>
      </w:pPr>
    </w:p>
    <w:p w14:paraId="48A41A6E" w14:textId="5A96D86F" w:rsidR="00BD0302" w:rsidRDefault="00BD0302" w:rsidP="0007657F">
      <w:pPr>
        <w:rPr>
          <w:rFonts w:ascii="Times New Roman" w:hAnsi="Times New Roman" w:cs="Times New Roman"/>
        </w:rPr>
      </w:pPr>
    </w:p>
    <w:p w14:paraId="67F9F86F" w14:textId="7BBC998E" w:rsidR="00BD0302" w:rsidRDefault="00BD0302" w:rsidP="0007657F">
      <w:pPr>
        <w:rPr>
          <w:rFonts w:ascii="Times New Roman" w:hAnsi="Times New Roman" w:cs="Times New Roman"/>
        </w:rPr>
      </w:pPr>
    </w:p>
    <w:p w14:paraId="0D5BD79F" w14:textId="176BAC21" w:rsidR="00BD0302" w:rsidRDefault="00BD0302" w:rsidP="0007657F">
      <w:pPr>
        <w:rPr>
          <w:rFonts w:ascii="Times New Roman" w:hAnsi="Times New Roman" w:cs="Times New Roman"/>
        </w:rPr>
      </w:pPr>
    </w:p>
    <w:p w14:paraId="18B73EC4" w14:textId="48EF9156" w:rsidR="00BD0302" w:rsidRDefault="00BD0302" w:rsidP="0007657F">
      <w:pPr>
        <w:rPr>
          <w:rFonts w:ascii="Times New Roman" w:hAnsi="Times New Roman" w:cs="Times New Roman"/>
        </w:rPr>
      </w:pPr>
    </w:p>
    <w:p w14:paraId="29A7698F" w14:textId="16895A35" w:rsidR="00BD0302" w:rsidRDefault="00BD0302" w:rsidP="0007657F">
      <w:pPr>
        <w:rPr>
          <w:rFonts w:ascii="Times New Roman" w:hAnsi="Times New Roman" w:cs="Times New Roman"/>
        </w:rPr>
      </w:pPr>
    </w:p>
    <w:p w14:paraId="2E567321" w14:textId="458B8497" w:rsidR="00BD0302" w:rsidRDefault="00BD0302" w:rsidP="0007657F">
      <w:pPr>
        <w:rPr>
          <w:rFonts w:ascii="Times New Roman" w:hAnsi="Times New Roman" w:cs="Times New Roman"/>
        </w:rPr>
      </w:pPr>
    </w:p>
    <w:p w14:paraId="146A7943" w14:textId="53BAC21A" w:rsidR="00BD0302" w:rsidRDefault="00BD0302" w:rsidP="0007657F">
      <w:pPr>
        <w:rPr>
          <w:rFonts w:ascii="Times New Roman" w:hAnsi="Times New Roman" w:cs="Times New Roman"/>
        </w:rPr>
      </w:pPr>
    </w:p>
    <w:p w14:paraId="3EB53337" w14:textId="487AA1AB" w:rsidR="00BD0302" w:rsidRDefault="00BD0302" w:rsidP="0007657F">
      <w:pPr>
        <w:rPr>
          <w:rFonts w:ascii="Times New Roman" w:hAnsi="Times New Roman" w:cs="Times New Roman"/>
        </w:rPr>
      </w:pPr>
    </w:p>
    <w:p w14:paraId="4CE0D844" w14:textId="77777777" w:rsidR="00BD0302" w:rsidRPr="00BD0302" w:rsidRDefault="00BD0302" w:rsidP="00BD0302">
      <w:pPr>
        <w:rPr>
          <w:rFonts w:ascii="Times New Roman" w:hAnsi="Times New Roman" w:cs="Times New Roman"/>
          <w:bCs/>
        </w:rPr>
      </w:pPr>
      <w:r w:rsidRPr="00BD0302">
        <w:rPr>
          <w:rFonts w:ascii="Times New Roman" w:hAnsi="Times New Roman" w:cs="Times New Roman"/>
          <w:bCs/>
        </w:rPr>
        <w:lastRenderedPageBreak/>
        <w:t xml:space="preserve">IMPACT OF </w:t>
      </w:r>
      <w:r w:rsidRPr="00BD0302">
        <w:rPr>
          <w:rFonts w:ascii="Times New Roman" w:hAnsi="Times New Roman" w:cs="Times New Roman"/>
          <w:bCs/>
          <w:i/>
        </w:rPr>
        <w:t>STREPTOCOCCUS PNEUMONIAE</w:t>
      </w:r>
      <w:r w:rsidRPr="00BD0302">
        <w:rPr>
          <w:rFonts w:ascii="Times New Roman" w:hAnsi="Times New Roman" w:cs="Times New Roman"/>
          <w:bCs/>
        </w:rPr>
        <w:t xml:space="preserve"> URINARY ANTIGEN TESTING (PUAT) IN PATIENTS WITH COMMUNITY-ACQUIRED PNEUMONIA (CAP) ADMITTED WITHIN A LARGE ACADEMIC MEDICAL SYSTEM</w:t>
      </w:r>
    </w:p>
    <w:p w14:paraId="68D5884F" w14:textId="77777777" w:rsidR="00BD0302" w:rsidRPr="00BD0302" w:rsidRDefault="00BD0302" w:rsidP="00BD0302">
      <w:pPr>
        <w:rPr>
          <w:rFonts w:ascii="Times New Roman" w:hAnsi="Times New Roman" w:cs="Times New Roman"/>
        </w:rPr>
      </w:pPr>
      <w:r w:rsidRPr="00BD0302">
        <w:rPr>
          <w:rFonts w:ascii="Times New Roman" w:hAnsi="Times New Roman" w:cs="Times New Roman"/>
          <w:u w:val="single"/>
        </w:rPr>
        <w:t>Greenfield A*</w:t>
      </w:r>
      <w:r w:rsidRPr="00BD0302">
        <w:rPr>
          <w:rFonts w:ascii="Times New Roman" w:hAnsi="Times New Roman" w:cs="Times New Roman"/>
        </w:rPr>
        <w:t xml:space="preserve">, </w:t>
      </w:r>
      <w:r w:rsidRPr="00BD0302">
        <w:rPr>
          <w:rFonts w:ascii="Times New Roman" w:hAnsi="Times New Roman" w:cs="Times New Roman"/>
          <w:u w:val="single"/>
        </w:rPr>
        <w:t>Marsh K,</w:t>
      </w:r>
      <w:r w:rsidRPr="00BD0302">
        <w:rPr>
          <w:rFonts w:ascii="Times New Roman" w:hAnsi="Times New Roman" w:cs="Times New Roman"/>
        </w:rPr>
        <w:t xml:space="preserve"> </w:t>
      </w:r>
      <w:r w:rsidRPr="00BD0302">
        <w:rPr>
          <w:rFonts w:ascii="Times New Roman" w:hAnsi="Times New Roman" w:cs="Times New Roman"/>
          <w:u w:val="single"/>
        </w:rPr>
        <w:t>Siegfried J,</w:t>
      </w:r>
      <w:r w:rsidRPr="00BD0302">
        <w:rPr>
          <w:rFonts w:ascii="Times New Roman" w:hAnsi="Times New Roman" w:cs="Times New Roman"/>
        </w:rPr>
        <w:t xml:space="preserve"> </w:t>
      </w:r>
      <w:r w:rsidRPr="00BD0302">
        <w:rPr>
          <w:rFonts w:ascii="Times New Roman" w:hAnsi="Times New Roman" w:cs="Times New Roman"/>
          <w:u w:val="single"/>
        </w:rPr>
        <w:t>Zacharioudakis I,</w:t>
      </w:r>
      <w:r w:rsidRPr="00BD0302">
        <w:rPr>
          <w:rFonts w:ascii="Times New Roman" w:hAnsi="Times New Roman" w:cs="Times New Roman"/>
        </w:rPr>
        <w:t xml:space="preserve"> </w:t>
      </w:r>
      <w:r w:rsidRPr="00BD0302">
        <w:rPr>
          <w:rFonts w:ascii="Times New Roman" w:hAnsi="Times New Roman" w:cs="Times New Roman"/>
          <w:u w:val="single"/>
        </w:rPr>
        <w:t>Ahmed N,</w:t>
      </w:r>
      <w:r w:rsidRPr="00BD0302">
        <w:rPr>
          <w:rFonts w:ascii="Times New Roman" w:hAnsi="Times New Roman" w:cs="Times New Roman"/>
        </w:rPr>
        <w:t xml:space="preserve"> </w:t>
      </w:r>
      <w:r w:rsidRPr="00BD0302">
        <w:rPr>
          <w:rFonts w:ascii="Times New Roman" w:hAnsi="Times New Roman" w:cs="Times New Roman"/>
          <w:u w:val="single"/>
        </w:rPr>
        <w:t>Decano A,</w:t>
      </w:r>
      <w:r w:rsidRPr="00BD0302">
        <w:rPr>
          <w:rFonts w:ascii="Times New Roman" w:hAnsi="Times New Roman" w:cs="Times New Roman"/>
        </w:rPr>
        <w:t xml:space="preserve"> </w:t>
      </w:r>
      <w:r w:rsidRPr="00BD0302">
        <w:rPr>
          <w:rFonts w:ascii="Times New Roman" w:hAnsi="Times New Roman" w:cs="Times New Roman"/>
          <w:u w:val="single"/>
        </w:rPr>
        <w:t>Papadopoulos J,</w:t>
      </w:r>
      <w:r w:rsidRPr="00BD0302">
        <w:rPr>
          <w:rFonts w:ascii="Times New Roman" w:hAnsi="Times New Roman" w:cs="Times New Roman"/>
        </w:rPr>
        <w:t xml:space="preserve"> </w:t>
      </w:r>
      <w:r w:rsidRPr="00BD0302">
        <w:rPr>
          <w:rFonts w:ascii="Times New Roman" w:hAnsi="Times New Roman" w:cs="Times New Roman"/>
          <w:u w:val="single"/>
        </w:rPr>
        <w:t>Dubrovskaya Y</w:t>
      </w:r>
    </w:p>
    <w:p w14:paraId="62DB3635" w14:textId="77777777" w:rsidR="00BD0302" w:rsidRPr="00BD0302" w:rsidRDefault="00BD0302" w:rsidP="00BD0302">
      <w:pPr>
        <w:rPr>
          <w:rFonts w:ascii="Times New Roman" w:hAnsi="Times New Roman" w:cs="Times New Roman"/>
        </w:rPr>
      </w:pPr>
      <w:r w:rsidRPr="00BD0302">
        <w:rPr>
          <w:rFonts w:ascii="Times New Roman" w:hAnsi="Times New Roman" w:cs="Times New Roman"/>
        </w:rPr>
        <w:t>New York University Langone Health, 550 First Avenue, New York, NY 10016</w:t>
      </w:r>
    </w:p>
    <w:p w14:paraId="0EBB8498" w14:textId="77777777" w:rsidR="00BD0302" w:rsidRPr="00BD0302" w:rsidRDefault="00BD0302" w:rsidP="00BD0302">
      <w:pPr>
        <w:rPr>
          <w:rFonts w:ascii="Times New Roman" w:hAnsi="Times New Roman" w:cs="Times New Roman"/>
        </w:rPr>
      </w:pPr>
      <w:r w:rsidRPr="00BD0302">
        <w:rPr>
          <w:rFonts w:ascii="Times New Roman" w:hAnsi="Times New Roman" w:cs="Times New Roman"/>
          <w:b/>
          <w:bCs/>
        </w:rPr>
        <w:t>Background:</w:t>
      </w:r>
      <w:r w:rsidRPr="00BD0302">
        <w:rPr>
          <w:rFonts w:ascii="Times New Roman" w:hAnsi="Times New Roman" w:cs="Times New Roman"/>
        </w:rPr>
        <w:t xml:space="preserve"> PUAT is a non-invasive assay that can be utilized to aid in the diagnosis of CAP secondary to </w:t>
      </w:r>
      <w:r w:rsidRPr="00BD0302">
        <w:rPr>
          <w:rFonts w:ascii="Times New Roman" w:hAnsi="Times New Roman" w:cs="Times New Roman"/>
          <w:i/>
          <w:iCs/>
        </w:rPr>
        <w:t>S</w:t>
      </w:r>
      <w:r w:rsidRPr="00BD0302">
        <w:rPr>
          <w:rFonts w:ascii="Times New Roman" w:hAnsi="Times New Roman" w:cs="Times New Roman"/>
        </w:rPr>
        <w:t xml:space="preserve">. </w:t>
      </w:r>
      <w:r w:rsidRPr="00BD0302">
        <w:rPr>
          <w:rFonts w:ascii="Times New Roman" w:hAnsi="Times New Roman" w:cs="Times New Roman"/>
          <w:i/>
          <w:iCs/>
        </w:rPr>
        <w:t xml:space="preserve">pneumoniae </w:t>
      </w:r>
      <w:r w:rsidRPr="00BD0302">
        <w:rPr>
          <w:rFonts w:ascii="Times New Roman" w:hAnsi="Times New Roman" w:cs="Times New Roman"/>
        </w:rPr>
        <w:t xml:space="preserve">infection. Evidence may support PUAT as an effective antimicrobial stewardship tool to curtail the use of broad-spectrum antimicrobials. At NYULH, our CAP guidelines and order set were developed to standardize diagnostic testing, which includes PUAT. </w:t>
      </w:r>
    </w:p>
    <w:p w14:paraId="4ADA7FED" w14:textId="77777777" w:rsidR="00BD0302" w:rsidRPr="00BD0302" w:rsidRDefault="00BD0302" w:rsidP="00BD0302">
      <w:pPr>
        <w:rPr>
          <w:rFonts w:ascii="Times New Roman" w:hAnsi="Times New Roman" w:cs="Times New Roman"/>
        </w:rPr>
      </w:pPr>
      <w:r w:rsidRPr="00BD0302">
        <w:rPr>
          <w:rFonts w:ascii="Times New Roman" w:hAnsi="Times New Roman" w:cs="Times New Roman"/>
          <w:b/>
          <w:bCs/>
        </w:rPr>
        <w:t>Objective:</w:t>
      </w:r>
      <w:r w:rsidRPr="00BD0302">
        <w:rPr>
          <w:rFonts w:ascii="Times New Roman" w:hAnsi="Times New Roman" w:cs="Times New Roman"/>
        </w:rPr>
        <w:t xml:space="preserve"> Compare antimicrobial use, de-escalation rates and outcomes among patients with positive and negative PUAT.</w:t>
      </w:r>
    </w:p>
    <w:p w14:paraId="3B6A9697" w14:textId="77777777" w:rsidR="00BD0302" w:rsidRPr="00BD0302" w:rsidRDefault="00BD0302" w:rsidP="00BD0302">
      <w:pPr>
        <w:rPr>
          <w:rFonts w:ascii="Times New Roman" w:hAnsi="Times New Roman" w:cs="Times New Roman"/>
        </w:rPr>
      </w:pPr>
      <w:r w:rsidRPr="00BD0302">
        <w:rPr>
          <w:rFonts w:ascii="Times New Roman" w:hAnsi="Times New Roman" w:cs="Times New Roman"/>
          <w:b/>
          <w:bCs/>
        </w:rPr>
        <w:t>Methods:</w:t>
      </w:r>
      <w:r w:rsidRPr="00BD0302">
        <w:rPr>
          <w:rFonts w:ascii="Times New Roman" w:hAnsi="Times New Roman" w:cs="Times New Roman"/>
        </w:rPr>
        <w:t xml:space="preserve"> This was a retrospective, Institutional Review Board approved, chart review of adults admitted to NYULH System between January-December 2019 with a primary admitting diagnosis of PNA where PUAT was performed. </w:t>
      </w:r>
    </w:p>
    <w:p w14:paraId="0320037D" w14:textId="77777777" w:rsidR="00BD0302" w:rsidRPr="00BD0302" w:rsidRDefault="00BD0302" w:rsidP="00BD0302">
      <w:pPr>
        <w:rPr>
          <w:rFonts w:ascii="Times New Roman" w:hAnsi="Times New Roman" w:cs="Times New Roman"/>
        </w:rPr>
      </w:pPr>
      <w:r w:rsidRPr="00BD0302">
        <w:rPr>
          <w:rFonts w:ascii="Times New Roman" w:hAnsi="Times New Roman" w:cs="Times New Roman"/>
          <w:b/>
          <w:bCs/>
        </w:rPr>
        <w:t>Results:</w:t>
      </w:r>
      <w:r w:rsidRPr="00BD0302">
        <w:rPr>
          <w:rFonts w:ascii="Times New Roman" w:hAnsi="Times New Roman" w:cs="Times New Roman"/>
        </w:rPr>
        <w:t xml:space="preserve"> We evaluated 910 patients, of which 121 (13.3%) were PUAT positive. No difference in baseline characteristics, including severity of illness as represented by the Pneumonia Severity Index and Charlson Comorbidity Index, were observed between PUAT positive and negative groups. Initial de-escalation, defined as discontinuation of atypical, pseudomonal, and methicillin-resistant </w:t>
      </w:r>
      <w:r w:rsidRPr="00BD0302">
        <w:rPr>
          <w:rFonts w:ascii="Times New Roman" w:hAnsi="Times New Roman" w:cs="Times New Roman"/>
          <w:i/>
          <w:iCs/>
        </w:rPr>
        <w:t xml:space="preserve">Staphylococcus aureus </w:t>
      </w:r>
      <w:r w:rsidRPr="00BD0302">
        <w:rPr>
          <w:rFonts w:ascii="Times New Roman" w:hAnsi="Times New Roman" w:cs="Times New Roman"/>
        </w:rPr>
        <w:t xml:space="preserve">coverage, occurred in 97/117 (82.9%) and 629/775 (81.2%) of PUAT positive and negative patients, respectively (p = 0.749). Median time to de-escalation was shorter in the PUAT positive cohort 1 (IQR 0-2) vs 1 (IQR 1-2) day, p = 0.01). Among the PUAT positive group, hospital length of stay was shorter in patients who were de-escalated (6 vs 7 days in patients who were not de-escalated or required escalation, p=0.0005) with no difference in the incidence of </w:t>
      </w:r>
      <w:r w:rsidRPr="00BD0302">
        <w:rPr>
          <w:rFonts w:ascii="Times New Roman" w:hAnsi="Times New Roman" w:cs="Times New Roman"/>
          <w:i/>
          <w:iCs/>
        </w:rPr>
        <w:t>C. difficile</w:t>
      </w:r>
      <w:r w:rsidRPr="00BD0302">
        <w:rPr>
          <w:rFonts w:ascii="Times New Roman" w:hAnsi="Times New Roman" w:cs="Times New Roman"/>
        </w:rPr>
        <w:t xml:space="preserve"> infection, in-hospital mortality, or 30-day infection-related readmission.</w:t>
      </w:r>
    </w:p>
    <w:p w14:paraId="7E3283B6" w14:textId="77777777" w:rsidR="00BD0302" w:rsidRPr="00BD0302" w:rsidRDefault="00BD0302" w:rsidP="00BD0302">
      <w:pPr>
        <w:rPr>
          <w:rFonts w:ascii="Times New Roman" w:hAnsi="Times New Roman" w:cs="Times New Roman"/>
        </w:rPr>
      </w:pPr>
      <w:r w:rsidRPr="00BD0302">
        <w:rPr>
          <w:rFonts w:ascii="Times New Roman" w:hAnsi="Times New Roman" w:cs="Times New Roman"/>
          <w:b/>
          <w:bCs/>
        </w:rPr>
        <w:t>Conclusions:</w:t>
      </w:r>
      <w:r w:rsidRPr="00BD0302">
        <w:rPr>
          <w:rFonts w:ascii="Times New Roman" w:hAnsi="Times New Roman" w:cs="Times New Roman"/>
        </w:rPr>
        <w:t xml:space="preserve"> PUAT positivity resulted in earlier de-escalation of antimicrobials without negatively impacting patient outcomes.</w:t>
      </w:r>
    </w:p>
    <w:p w14:paraId="2398EB0C" w14:textId="72F3CAE3" w:rsidR="00BD0302" w:rsidRDefault="00BD0302" w:rsidP="0007657F">
      <w:pPr>
        <w:rPr>
          <w:rFonts w:ascii="Times New Roman" w:hAnsi="Times New Roman" w:cs="Times New Roman"/>
        </w:rPr>
      </w:pPr>
    </w:p>
    <w:p w14:paraId="0DBB5B48" w14:textId="67A99386" w:rsidR="00BD0302" w:rsidRDefault="00BD0302" w:rsidP="0007657F">
      <w:pPr>
        <w:rPr>
          <w:rFonts w:ascii="Times New Roman" w:hAnsi="Times New Roman" w:cs="Times New Roman"/>
        </w:rPr>
      </w:pPr>
    </w:p>
    <w:p w14:paraId="6F8D689F" w14:textId="1EF3A003" w:rsidR="00BD0302" w:rsidRDefault="00BD0302" w:rsidP="0007657F">
      <w:pPr>
        <w:rPr>
          <w:rFonts w:ascii="Times New Roman" w:hAnsi="Times New Roman" w:cs="Times New Roman"/>
        </w:rPr>
      </w:pPr>
    </w:p>
    <w:p w14:paraId="034E5D7F" w14:textId="706592C5" w:rsidR="00BD0302" w:rsidRDefault="00BD0302" w:rsidP="0007657F">
      <w:pPr>
        <w:rPr>
          <w:rFonts w:ascii="Times New Roman" w:hAnsi="Times New Roman" w:cs="Times New Roman"/>
        </w:rPr>
      </w:pPr>
    </w:p>
    <w:p w14:paraId="03BC9445" w14:textId="7490D97B" w:rsidR="00BD0302" w:rsidRDefault="00BD0302" w:rsidP="0007657F">
      <w:pPr>
        <w:rPr>
          <w:rFonts w:ascii="Times New Roman" w:hAnsi="Times New Roman" w:cs="Times New Roman"/>
        </w:rPr>
      </w:pPr>
    </w:p>
    <w:p w14:paraId="73F42949" w14:textId="78E0BB0B" w:rsidR="00BD0302" w:rsidRDefault="00BD0302" w:rsidP="0007657F">
      <w:pPr>
        <w:rPr>
          <w:rFonts w:ascii="Times New Roman" w:hAnsi="Times New Roman" w:cs="Times New Roman"/>
        </w:rPr>
      </w:pPr>
    </w:p>
    <w:p w14:paraId="607499FE" w14:textId="74448EFF" w:rsidR="00BD0302" w:rsidRDefault="00BD0302" w:rsidP="0007657F">
      <w:pPr>
        <w:rPr>
          <w:rFonts w:ascii="Times New Roman" w:hAnsi="Times New Roman" w:cs="Times New Roman"/>
        </w:rPr>
      </w:pPr>
    </w:p>
    <w:p w14:paraId="052EB1CB" w14:textId="6B67749D" w:rsidR="00BD0302" w:rsidRDefault="00BD0302" w:rsidP="0007657F">
      <w:pPr>
        <w:rPr>
          <w:rFonts w:ascii="Times New Roman" w:hAnsi="Times New Roman" w:cs="Times New Roman"/>
        </w:rPr>
      </w:pPr>
    </w:p>
    <w:p w14:paraId="7AF189E4" w14:textId="1F43EE89" w:rsidR="00BD0302" w:rsidRDefault="00BD0302" w:rsidP="0007657F">
      <w:pPr>
        <w:rPr>
          <w:rFonts w:ascii="Times New Roman" w:hAnsi="Times New Roman" w:cs="Times New Roman"/>
        </w:rPr>
      </w:pPr>
    </w:p>
    <w:p w14:paraId="0C22B73E" w14:textId="2ADC8537" w:rsidR="00BD0302" w:rsidRDefault="00BD0302" w:rsidP="0007657F">
      <w:pPr>
        <w:rPr>
          <w:rFonts w:ascii="Times New Roman" w:hAnsi="Times New Roman" w:cs="Times New Roman"/>
        </w:rPr>
      </w:pPr>
    </w:p>
    <w:p w14:paraId="7D6C0657" w14:textId="77777777" w:rsidR="00BD0302" w:rsidRDefault="00BD0302" w:rsidP="00BD0302">
      <w:pPr>
        <w:rPr>
          <w:rFonts w:ascii="Times New Roman" w:hAnsi="Times New Roman" w:cs="Times New Roman"/>
        </w:rPr>
      </w:pPr>
      <w:r>
        <w:rPr>
          <w:rFonts w:ascii="Times New Roman" w:hAnsi="Times New Roman" w:cs="Times New Roman"/>
        </w:rPr>
        <w:lastRenderedPageBreak/>
        <w:t xml:space="preserve">IMPACT OF PHARMACIST EDUCATION ON DURATION OF PHARYNGITIS TREATMENT IN THE EMERGENCY DEPARTMENT </w:t>
      </w:r>
    </w:p>
    <w:p w14:paraId="343C45F8" w14:textId="77777777" w:rsidR="00BD0302" w:rsidRDefault="00BD0302" w:rsidP="00BD0302">
      <w:pPr>
        <w:rPr>
          <w:rFonts w:ascii="Times New Roman" w:hAnsi="Times New Roman" w:cs="Times New Roman"/>
        </w:rPr>
      </w:pPr>
      <w:r>
        <w:rPr>
          <w:rFonts w:ascii="Times New Roman" w:hAnsi="Times New Roman" w:cs="Times New Roman"/>
          <w:u w:val="single"/>
        </w:rPr>
        <w:t>Guszkowski M</w:t>
      </w:r>
      <w:r>
        <w:rPr>
          <w:rFonts w:ascii="Times New Roman" w:hAnsi="Times New Roman" w:cs="Times New Roman"/>
        </w:rPr>
        <w:t xml:space="preserve">*, </w:t>
      </w:r>
      <w:r>
        <w:rPr>
          <w:rFonts w:ascii="Times New Roman" w:hAnsi="Times New Roman" w:cs="Times New Roman"/>
          <w:u w:val="single"/>
        </w:rPr>
        <w:t>Costanzo J</w:t>
      </w:r>
      <w:r>
        <w:rPr>
          <w:rFonts w:ascii="Times New Roman" w:hAnsi="Times New Roman" w:cs="Times New Roman"/>
        </w:rPr>
        <w:t xml:space="preserve">, </w:t>
      </w:r>
      <w:r>
        <w:rPr>
          <w:rFonts w:ascii="Times New Roman" w:hAnsi="Times New Roman" w:cs="Times New Roman"/>
          <w:u w:val="single"/>
        </w:rPr>
        <w:t>Wojciechowski A</w:t>
      </w:r>
    </w:p>
    <w:p w14:paraId="0755196F" w14:textId="77777777" w:rsidR="00BD0302" w:rsidRDefault="00BD0302" w:rsidP="00BD0302">
      <w:pPr>
        <w:rPr>
          <w:rFonts w:ascii="Times New Roman" w:hAnsi="Times New Roman" w:cs="Times New Roman"/>
        </w:rPr>
      </w:pPr>
      <w:r>
        <w:rPr>
          <w:rFonts w:ascii="Times New Roman" w:hAnsi="Times New Roman" w:cs="Times New Roman"/>
        </w:rPr>
        <w:t>Niagara Falls Memorial Medical Center, 621 10</w:t>
      </w:r>
      <w:r>
        <w:rPr>
          <w:rFonts w:ascii="Times New Roman" w:hAnsi="Times New Roman" w:cs="Times New Roman"/>
          <w:vertAlign w:val="superscript"/>
        </w:rPr>
        <w:t>th</w:t>
      </w:r>
      <w:r>
        <w:rPr>
          <w:rFonts w:ascii="Times New Roman" w:hAnsi="Times New Roman" w:cs="Times New Roman"/>
        </w:rPr>
        <w:t xml:space="preserve"> St, Niagara Falls, NY 14301 </w:t>
      </w:r>
    </w:p>
    <w:p w14:paraId="66BD5EBC" w14:textId="77777777" w:rsidR="00BD0302" w:rsidRDefault="00BD0302" w:rsidP="00BD0302">
      <w:pPr>
        <w:rPr>
          <w:rFonts w:ascii="Times New Roman" w:hAnsi="Times New Roman" w:cs="Times New Roman"/>
        </w:rPr>
      </w:pPr>
    </w:p>
    <w:p w14:paraId="09E840F8" w14:textId="77777777" w:rsidR="00BD0302" w:rsidRDefault="00BD0302" w:rsidP="00BD0302">
      <w:pPr>
        <w:rPr>
          <w:rFonts w:ascii="Times New Roman" w:hAnsi="Times New Roman" w:cs="Times New Roman"/>
        </w:rPr>
      </w:pPr>
      <w:r>
        <w:rPr>
          <w:rFonts w:ascii="Times New Roman" w:hAnsi="Times New Roman" w:cs="Times New Roman"/>
          <w:b/>
        </w:rPr>
        <w:t>Background</w:t>
      </w:r>
      <w:r>
        <w:rPr>
          <w:rFonts w:ascii="Times New Roman" w:hAnsi="Times New Roman" w:cs="Times New Roman"/>
        </w:rPr>
        <w:t xml:space="preserve">: Pharyngitis is a very common diagnosis in the emergency department (ED) at Niagara Falls Memorial Medical Center (NFMMC). Guidelines and studies show </w:t>
      </w:r>
      <w:r>
        <w:rPr>
          <w:rFonts w:ascii="Times New Roman" w:eastAsia="Times New Roman" w:hAnsi="Times New Roman" w:cs="Times New Roman"/>
        </w:rPr>
        <w:t xml:space="preserve">in adults and children without any allergies, oral penicillin or amoxicillin for 10 days is first-line treatment compared to 5 or 7-day treatment. Proper duration of antibiotics is crucial to eradicate Group A Streptococcus. Prescribing patterns for pharyngitis treatment have not been formally assessed in the ED at NFMMC. The purpose of this study is to determine the effect of prescriber education on the correct duration of therapy in pharyngitis patients. </w:t>
      </w:r>
    </w:p>
    <w:p w14:paraId="2E11286F" w14:textId="77777777" w:rsidR="00BD0302" w:rsidRDefault="00BD0302" w:rsidP="00BD0302">
      <w:pPr>
        <w:rPr>
          <w:rFonts w:ascii="Times New Roman" w:hAnsi="Times New Roman" w:cs="Times New Roman"/>
        </w:rPr>
      </w:pPr>
    </w:p>
    <w:p w14:paraId="634908F5" w14:textId="77777777" w:rsidR="00BD0302" w:rsidRDefault="00BD0302" w:rsidP="00BD0302">
      <w:r>
        <w:rPr>
          <w:rFonts w:ascii="Times New Roman" w:hAnsi="Times New Roman" w:cs="Times New Roman"/>
          <w:b/>
        </w:rPr>
        <w:t>Objective</w:t>
      </w:r>
      <w:r>
        <w:rPr>
          <w:rFonts w:ascii="Times New Roman" w:hAnsi="Times New Roman" w:cs="Times New Roman"/>
        </w:rPr>
        <w:t xml:space="preserve">: The primary outcome was the change in the percentage of patients discharged with guideline recommended duration of antibiotic therapy diagnosed with pharyngitis in the emergency department after pharmacist driven provider education. Secondary outcomes included guideline recommended first-line antibiotics prescribed with and without a beta-lactam allergy. </w:t>
      </w:r>
    </w:p>
    <w:p w14:paraId="03E988A8" w14:textId="77777777" w:rsidR="00BD0302" w:rsidRDefault="00BD0302" w:rsidP="00BD0302">
      <w:pPr>
        <w:rPr>
          <w:rFonts w:ascii="Times New Roman" w:hAnsi="Times New Roman" w:cs="Times New Roman"/>
        </w:rPr>
      </w:pPr>
    </w:p>
    <w:p w14:paraId="312C4CDB" w14:textId="77777777" w:rsidR="00BD0302" w:rsidRDefault="00BD0302" w:rsidP="00BD0302">
      <w:pPr>
        <w:rPr>
          <w:rFonts w:ascii="Times New Roman" w:hAnsi="Times New Roman" w:cs="Times New Roman"/>
        </w:rPr>
      </w:pPr>
      <w:r>
        <w:rPr>
          <w:rFonts w:ascii="Times New Roman" w:hAnsi="Times New Roman" w:cs="Times New Roman"/>
          <w:b/>
        </w:rPr>
        <w:t>Methods</w:t>
      </w:r>
      <w:r>
        <w:rPr>
          <w:rFonts w:ascii="Times New Roman" w:hAnsi="Times New Roman" w:cs="Times New Roman"/>
        </w:rPr>
        <w:t>: This study assessed all patients diagnosed with pharyngitis in the ED at NFMMC treated with antibiotics. Retrospective pre-education chart review was conducted from 11/01/2019-02/28/2020 and the prospective post-education chart review was conducted from 11/01/2020-02/28/2021.</w:t>
      </w:r>
    </w:p>
    <w:p w14:paraId="0B8D2D67" w14:textId="77777777" w:rsidR="00BD0302" w:rsidRDefault="00BD0302" w:rsidP="00BD0302">
      <w:pPr>
        <w:rPr>
          <w:rFonts w:ascii="Times New Roman" w:hAnsi="Times New Roman" w:cs="Times New Roman"/>
        </w:rPr>
      </w:pPr>
    </w:p>
    <w:p w14:paraId="4213729A" w14:textId="77777777" w:rsidR="00BD0302" w:rsidRDefault="00BD0302" w:rsidP="00BD0302">
      <w:pPr>
        <w:rPr>
          <w:rFonts w:ascii="Times New Roman" w:hAnsi="Times New Roman" w:cs="Times New Roman"/>
        </w:rPr>
      </w:pPr>
      <w:r>
        <w:rPr>
          <w:rFonts w:ascii="Times New Roman" w:hAnsi="Times New Roman" w:cs="Times New Roman"/>
          <w:b/>
        </w:rPr>
        <w:t>Results</w:t>
      </w:r>
      <w:r>
        <w:rPr>
          <w:rFonts w:ascii="Times New Roman" w:hAnsi="Times New Roman" w:cs="Times New Roman"/>
        </w:rPr>
        <w:t xml:space="preserve">: 72.1% of 43 patients in prospective chart review met the primary outcome compared to 72.5% of 113 patients in retrospective chart review (p=1.000). Similar results were found in both secondary outcomes with non-statistically significant data (p=0.8491, p=0.2919). </w:t>
      </w:r>
    </w:p>
    <w:p w14:paraId="7F2061E5" w14:textId="77777777" w:rsidR="00BD0302" w:rsidRDefault="00BD0302" w:rsidP="00BD0302">
      <w:pPr>
        <w:rPr>
          <w:rFonts w:ascii="Times New Roman" w:hAnsi="Times New Roman" w:cs="Times New Roman"/>
        </w:rPr>
      </w:pPr>
    </w:p>
    <w:p w14:paraId="18589A3C" w14:textId="77777777" w:rsidR="00BD0302" w:rsidRDefault="00BD0302" w:rsidP="00BD0302">
      <w:pPr>
        <w:rPr>
          <w:rFonts w:ascii="Times New Roman" w:eastAsia="Times New Roman" w:hAnsi="Times New Roman" w:cs="Times New Roman"/>
        </w:rPr>
      </w:pPr>
      <w:r>
        <w:rPr>
          <w:rFonts w:ascii="Times New Roman" w:hAnsi="Times New Roman" w:cs="Times New Roman"/>
          <w:b/>
        </w:rPr>
        <w:t>Conclusions</w:t>
      </w:r>
      <w:r>
        <w:rPr>
          <w:rFonts w:ascii="Times New Roman" w:hAnsi="Times New Roman" w:cs="Times New Roman"/>
        </w:rPr>
        <w:t xml:space="preserve">: </w:t>
      </w:r>
      <w:r>
        <w:rPr>
          <w:rFonts w:ascii="Times New Roman" w:eastAsia="Times New Roman" w:hAnsi="Times New Roman" w:cs="Times New Roman"/>
          <w:color w:val="000000"/>
        </w:rPr>
        <w:t>Pharmacist driven education did not lead to a measurable difference in antibiotic duration prescribing, and additional strategies may be necessary to improve adherence to guideline-recommended durations of therapy.</w:t>
      </w:r>
    </w:p>
    <w:p w14:paraId="68EF5197" w14:textId="1A21B602" w:rsidR="00BD0302" w:rsidRDefault="00BD0302" w:rsidP="0007657F">
      <w:pPr>
        <w:rPr>
          <w:rFonts w:ascii="Times New Roman" w:hAnsi="Times New Roman" w:cs="Times New Roman"/>
        </w:rPr>
      </w:pPr>
    </w:p>
    <w:p w14:paraId="1A5025C6" w14:textId="0FC5D581" w:rsidR="00BD0302" w:rsidRDefault="00BD0302" w:rsidP="0007657F">
      <w:pPr>
        <w:rPr>
          <w:rFonts w:ascii="Times New Roman" w:hAnsi="Times New Roman" w:cs="Times New Roman"/>
        </w:rPr>
      </w:pPr>
    </w:p>
    <w:p w14:paraId="339C6EA9" w14:textId="134E1719" w:rsidR="00BD0302" w:rsidRDefault="00BD0302" w:rsidP="0007657F">
      <w:pPr>
        <w:rPr>
          <w:rFonts w:ascii="Times New Roman" w:hAnsi="Times New Roman" w:cs="Times New Roman"/>
        </w:rPr>
      </w:pPr>
    </w:p>
    <w:p w14:paraId="35D8DB6C" w14:textId="5B6680B2" w:rsidR="00BD0302" w:rsidRDefault="00BD0302" w:rsidP="0007657F">
      <w:pPr>
        <w:rPr>
          <w:rFonts w:ascii="Times New Roman" w:hAnsi="Times New Roman" w:cs="Times New Roman"/>
        </w:rPr>
      </w:pPr>
    </w:p>
    <w:p w14:paraId="06640AED" w14:textId="4703ECE8" w:rsidR="00BD0302" w:rsidRDefault="00BD0302" w:rsidP="0007657F">
      <w:pPr>
        <w:rPr>
          <w:rFonts w:ascii="Times New Roman" w:hAnsi="Times New Roman" w:cs="Times New Roman"/>
        </w:rPr>
      </w:pPr>
    </w:p>
    <w:p w14:paraId="7CA44CB4" w14:textId="461FA015" w:rsidR="00BD0302" w:rsidRDefault="00BD0302" w:rsidP="0007657F">
      <w:pPr>
        <w:rPr>
          <w:rFonts w:ascii="Times New Roman" w:hAnsi="Times New Roman" w:cs="Times New Roman"/>
        </w:rPr>
      </w:pPr>
    </w:p>
    <w:p w14:paraId="464D27DC" w14:textId="18FF01C9" w:rsidR="00BD0302" w:rsidRDefault="00BD0302" w:rsidP="0007657F">
      <w:pPr>
        <w:rPr>
          <w:rFonts w:ascii="Times New Roman" w:hAnsi="Times New Roman" w:cs="Times New Roman"/>
        </w:rPr>
      </w:pPr>
    </w:p>
    <w:p w14:paraId="28219142" w14:textId="77777777" w:rsidR="00BD0302" w:rsidRPr="00BD0302" w:rsidRDefault="00BD0302" w:rsidP="00BD0302">
      <w:pPr>
        <w:rPr>
          <w:rFonts w:ascii="Times New Roman" w:hAnsi="Times New Roman" w:cs="Times New Roman"/>
          <w:caps/>
        </w:rPr>
      </w:pPr>
      <w:r w:rsidRPr="00BD0302">
        <w:rPr>
          <w:rFonts w:ascii="Times New Roman" w:hAnsi="Times New Roman" w:cs="Times New Roman"/>
          <w:caps/>
        </w:rPr>
        <w:lastRenderedPageBreak/>
        <w:t>Impact of Pharmacist Education on the Appropriate Treatment of Community Acquired Pneumonia in the Inpatient Setting</w:t>
      </w:r>
    </w:p>
    <w:p w14:paraId="2ACE473A" w14:textId="77777777" w:rsidR="00BD0302" w:rsidRPr="00BD0302" w:rsidRDefault="00BD0302" w:rsidP="00BD0302">
      <w:pPr>
        <w:rPr>
          <w:rFonts w:ascii="Times New Roman" w:hAnsi="Times New Roman" w:cs="Times New Roman"/>
        </w:rPr>
      </w:pPr>
      <w:r w:rsidRPr="00BD0302">
        <w:rPr>
          <w:rFonts w:ascii="Times New Roman" w:hAnsi="Times New Roman" w:cs="Times New Roman"/>
          <w:u w:val="single"/>
        </w:rPr>
        <w:t>Hejna M*</w:t>
      </w:r>
      <w:r w:rsidRPr="00BD0302">
        <w:rPr>
          <w:rFonts w:ascii="Times New Roman" w:hAnsi="Times New Roman" w:cs="Times New Roman"/>
        </w:rPr>
        <w:t xml:space="preserve">, </w:t>
      </w:r>
      <w:r w:rsidRPr="00BD0302">
        <w:rPr>
          <w:rFonts w:ascii="Times New Roman" w:hAnsi="Times New Roman" w:cs="Times New Roman"/>
          <w:u w:val="single"/>
        </w:rPr>
        <w:t>Kusmierksi K</w:t>
      </w:r>
      <w:r w:rsidRPr="00BD0302">
        <w:rPr>
          <w:rFonts w:ascii="Times New Roman" w:hAnsi="Times New Roman" w:cs="Times New Roman"/>
        </w:rPr>
        <w:t xml:space="preserve">, </w:t>
      </w:r>
      <w:r w:rsidRPr="00BD0302">
        <w:rPr>
          <w:rFonts w:ascii="Times New Roman" w:hAnsi="Times New Roman" w:cs="Times New Roman"/>
          <w:u w:val="single"/>
        </w:rPr>
        <w:t>Rubino A</w:t>
      </w:r>
      <w:r w:rsidRPr="00BD0302">
        <w:rPr>
          <w:rFonts w:ascii="Times New Roman" w:hAnsi="Times New Roman" w:cs="Times New Roman"/>
        </w:rPr>
        <w:t xml:space="preserve">, </w:t>
      </w:r>
      <w:r w:rsidRPr="00BD0302">
        <w:rPr>
          <w:rFonts w:ascii="Times New Roman" w:hAnsi="Times New Roman" w:cs="Times New Roman"/>
          <w:u w:val="single"/>
        </w:rPr>
        <w:t>Scull J</w:t>
      </w:r>
      <w:r w:rsidRPr="00BD0302">
        <w:rPr>
          <w:rFonts w:ascii="Times New Roman" w:hAnsi="Times New Roman" w:cs="Times New Roman"/>
        </w:rPr>
        <w:t xml:space="preserve">. </w:t>
      </w:r>
    </w:p>
    <w:p w14:paraId="468F4307" w14:textId="77777777" w:rsidR="00BD0302" w:rsidRPr="00BD0302" w:rsidRDefault="00BD0302" w:rsidP="00BD0302">
      <w:pPr>
        <w:rPr>
          <w:rFonts w:ascii="Times New Roman" w:hAnsi="Times New Roman" w:cs="Times New Roman"/>
        </w:rPr>
      </w:pPr>
      <w:r w:rsidRPr="00BD0302">
        <w:rPr>
          <w:rFonts w:ascii="Times New Roman" w:hAnsi="Times New Roman" w:cs="Times New Roman"/>
        </w:rPr>
        <w:t>Millard Fillmore Suburban Hospital, 1540 Maple Road, Amherst, NY 14221</w:t>
      </w:r>
    </w:p>
    <w:p w14:paraId="010B3DE9" w14:textId="77777777" w:rsidR="00BD0302" w:rsidRPr="00BD0302" w:rsidRDefault="00BD0302" w:rsidP="00BD0302">
      <w:pPr>
        <w:rPr>
          <w:rFonts w:ascii="Times New Roman" w:hAnsi="Times New Roman" w:cs="Times New Roman"/>
        </w:rPr>
      </w:pPr>
    </w:p>
    <w:p w14:paraId="2752C95F" w14:textId="77777777" w:rsidR="00BD0302" w:rsidRPr="00BD0302" w:rsidRDefault="00BD0302" w:rsidP="00BD0302">
      <w:pPr>
        <w:rPr>
          <w:rFonts w:ascii="Times New Roman" w:hAnsi="Times New Roman" w:cs="Times New Roman"/>
        </w:rPr>
      </w:pPr>
      <w:r w:rsidRPr="00BD0302">
        <w:rPr>
          <w:rFonts w:ascii="Times New Roman" w:hAnsi="Times New Roman" w:cs="Times New Roman"/>
          <w:b/>
        </w:rPr>
        <w:t>Background</w:t>
      </w:r>
      <w:r w:rsidRPr="00BD0302">
        <w:rPr>
          <w:rFonts w:ascii="Times New Roman" w:hAnsi="Times New Roman" w:cs="Times New Roman"/>
        </w:rPr>
        <w:t xml:space="preserve">: In 2019, the Infectious Diseases Society of America (IDSA) and the American Thoracic Society updated their guidelines for the treatment of adults with community acquired pneumonia (CAP). There are several new recommendations for topics that had not been previously covered in the 2007 guidelines. The updated guidelines recommend abandoning the term healthcare associated pneumonia (HCAP). The new guideline modified risk factors for prescribing empiric broad spectrum antibiotics to include only severe CAP or patients previously colonized with </w:t>
      </w:r>
      <w:r w:rsidRPr="00BD0302">
        <w:rPr>
          <w:rFonts w:ascii="Times New Roman" w:hAnsi="Times New Roman" w:cs="Times New Roman"/>
          <w:i/>
        </w:rPr>
        <w:t>Pseudomonas</w:t>
      </w:r>
      <w:r w:rsidRPr="00BD0302">
        <w:rPr>
          <w:rFonts w:ascii="Times New Roman" w:hAnsi="Times New Roman" w:cs="Times New Roman"/>
        </w:rPr>
        <w:t xml:space="preserve"> or methicillin resistant </w:t>
      </w:r>
      <w:r w:rsidRPr="00BD0302">
        <w:rPr>
          <w:rFonts w:ascii="Times New Roman" w:hAnsi="Times New Roman" w:cs="Times New Roman"/>
          <w:i/>
        </w:rPr>
        <w:t>Staphylococcus aureus</w:t>
      </w:r>
      <w:r w:rsidRPr="00BD0302">
        <w:rPr>
          <w:rFonts w:ascii="Times New Roman" w:hAnsi="Times New Roman" w:cs="Times New Roman"/>
        </w:rPr>
        <w:t xml:space="preserve"> (MRSA).</w:t>
      </w:r>
    </w:p>
    <w:p w14:paraId="2E03FE0E" w14:textId="77777777" w:rsidR="00BD0302" w:rsidRPr="00BD0302" w:rsidRDefault="00BD0302" w:rsidP="00BD0302">
      <w:pPr>
        <w:rPr>
          <w:rFonts w:ascii="Times New Roman" w:hAnsi="Times New Roman" w:cs="Times New Roman"/>
        </w:rPr>
      </w:pPr>
      <w:r w:rsidRPr="00BD0302">
        <w:rPr>
          <w:rFonts w:ascii="Times New Roman" w:hAnsi="Times New Roman" w:cs="Times New Roman"/>
          <w:b/>
        </w:rPr>
        <w:t>Objective</w:t>
      </w:r>
      <w:r w:rsidRPr="00BD0302">
        <w:rPr>
          <w:rFonts w:ascii="Times New Roman" w:hAnsi="Times New Roman" w:cs="Times New Roman"/>
        </w:rPr>
        <w:t xml:space="preserve">: The primary outcome was to assess the effectiveness of pharmacist education on provider adherence to the 2019 IDSA guidelines for treatment of non-critical care inpatients diagnosed with CAP.  </w:t>
      </w:r>
    </w:p>
    <w:p w14:paraId="6A363B6F" w14:textId="77777777" w:rsidR="00BD0302" w:rsidRPr="00BD0302" w:rsidRDefault="00BD0302" w:rsidP="00BD0302">
      <w:pPr>
        <w:rPr>
          <w:rFonts w:ascii="Times New Roman" w:hAnsi="Times New Roman" w:cs="Times New Roman"/>
        </w:rPr>
      </w:pPr>
      <w:r w:rsidRPr="00BD0302">
        <w:rPr>
          <w:rFonts w:ascii="Times New Roman" w:hAnsi="Times New Roman" w:cs="Times New Roman"/>
          <w:b/>
        </w:rPr>
        <w:t>Methods</w:t>
      </w:r>
      <w:r w:rsidRPr="00BD0302">
        <w:rPr>
          <w:rFonts w:ascii="Times New Roman" w:hAnsi="Times New Roman" w:cs="Times New Roman"/>
        </w:rPr>
        <w:t xml:space="preserve">: This study was a retrospective, single center, chart review at Millard Fillmore Suburban Hospital. Adherence of empiric antibiotic selection to the recommendations in the 2019 IDSA CAP guidelines was evaluated in patients treated before and after a pharmacy resident presented education to providers. Adherence was evidenced by the selection of appropriate initial antimicrobial therapy for the treatment of CAP. Specific scientific endpoints included the number of patients empirically initiated on the appropriate antibiotics as outlined by the 2019 IDSA CAP guidelines, number of patients in which MRSA screening was obtained, number of patients treated empirically for MRSA, and the number of patients treated empirically for </w:t>
      </w:r>
      <w:r w:rsidRPr="00BD0302">
        <w:rPr>
          <w:rFonts w:ascii="Times New Roman" w:hAnsi="Times New Roman" w:cs="Times New Roman"/>
          <w:i/>
        </w:rPr>
        <w:t>Pseudomonas</w:t>
      </w:r>
      <w:r w:rsidRPr="00BD0302">
        <w:rPr>
          <w:rFonts w:ascii="Times New Roman" w:hAnsi="Times New Roman" w:cs="Times New Roman"/>
        </w:rPr>
        <w:t xml:space="preserve"> before and after pharmacist education. This study was approved by the institutional review board at the University at Buffalo. </w:t>
      </w:r>
    </w:p>
    <w:p w14:paraId="3D92F970" w14:textId="77777777" w:rsidR="00BD0302" w:rsidRPr="00BD0302" w:rsidRDefault="00BD0302" w:rsidP="00BD0302">
      <w:pPr>
        <w:rPr>
          <w:rFonts w:ascii="Times New Roman" w:hAnsi="Times New Roman" w:cs="Times New Roman"/>
        </w:rPr>
      </w:pPr>
      <w:r w:rsidRPr="00BD0302">
        <w:rPr>
          <w:rFonts w:ascii="Times New Roman" w:hAnsi="Times New Roman" w:cs="Times New Roman"/>
          <w:b/>
        </w:rPr>
        <w:t>Results and Conclusion</w:t>
      </w:r>
      <w:r w:rsidRPr="00BD0302">
        <w:rPr>
          <w:rFonts w:ascii="Times New Roman" w:hAnsi="Times New Roman" w:cs="Times New Roman"/>
        </w:rPr>
        <w:t>: In progress</w:t>
      </w:r>
    </w:p>
    <w:p w14:paraId="09F42DDA" w14:textId="4A781341" w:rsidR="00BD0302" w:rsidRDefault="00BD0302" w:rsidP="0007657F">
      <w:pPr>
        <w:rPr>
          <w:rFonts w:ascii="Times New Roman" w:hAnsi="Times New Roman" w:cs="Times New Roman"/>
        </w:rPr>
      </w:pPr>
    </w:p>
    <w:p w14:paraId="7B878F15" w14:textId="1A891D1B" w:rsidR="00BD0302" w:rsidRDefault="00BD0302" w:rsidP="0007657F">
      <w:pPr>
        <w:rPr>
          <w:rFonts w:ascii="Times New Roman" w:hAnsi="Times New Roman" w:cs="Times New Roman"/>
        </w:rPr>
      </w:pPr>
    </w:p>
    <w:p w14:paraId="192E4DAF" w14:textId="2066E0E2" w:rsidR="00BD0302" w:rsidRDefault="00BD0302" w:rsidP="0007657F">
      <w:pPr>
        <w:rPr>
          <w:rFonts w:ascii="Times New Roman" w:hAnsi="Times New Roman" w:cs="Times New Roman"/>
        </w:rPr>
      </w:pPr>
    </w:p>
    <w:p w14:paraId="25CDFB52" w14:textId="6A2F3B9F" w:rsidR="00BD0302" w:rsidRDefault="00BD0302" w:rsidP="0007657F">
      <w:pPr>
        <w:rPr>
          <w:rFonts w:ascii="Times New Roman" w:hAnsi="Times New Roman" w:cs="Times New Roman"/>
        </w:rPr>
      </w:pPr>
    </w:p>
    <w:p w14:paraId="310F43DD" w14:textId="31AB4DDA" w:rsidR="00BD0302" w:rsidRDefault="00BD0302" w:rsidP="0007657F">
      <w:pPr>
        <w:rPr>
          <w:rFonts w:ascii="Times New Roman" w:hAnsi="Times New Roman" w:cs="Times New Roman"/>
        </w:rPr>
      </w:pPr>
    </w:p>
    <w:p w14:paraId="13D67280" w14:textId="24F344DC" w:rsidR="00BD0302" w:rsidRDefault="00BD0302" w:rsidP="0007657F">
      <w:pPr>
        <w:rPr>
          <w:rFonts w:ascii="Times New Roman" w:hAnsi="Times New Roman" w:cs="Times New Roman"/>
        </w:rPr>
      </w:pPr>
    </w:p>
    <w:p w14:paraId="23A573C8" w14:textId="1D577A8D" w:rsidR="00BD0302" w:rsidRDefault="00BD0302" w:rsidP="0007657F">
      <w:pPr>
        <w:rPr>
          <w:rFonts w:ascii="Times New Roman" w:hAnsi="Times New Roman" w:cs="Times New Roman"/>
        </w:rPr>
      </w:pPr>
    </w:p>
    <w:p w14:paraId="40054438" w14:textId="2516FFBF" w:rsidR="00BD0302" w:rsidRDefault="00BD0302" w:rsidP="0007657F">
      <w:pPr>
        <w:rPr>
          <w:rFonts w:ascii="Times New Roman" w:hAnsi="Times New Roman" w:cs="Times New Roman"/>
        </w:rPr>
      </w:pPr>
    </w:p>
    <w:p w14:paraId="7E5E0F56" w14:textId="797F44FC" w:rsidR="00BD0302" w:rsidRDefault="00BD0302" w:rsidP="0007657F">
      <w:pPr>
        <w:rPr>
          <w:rFonts w:ascii="Times New Roman" w:hAnsi="Times New Roman" w:cs="Times New Roman"/>
        </w:rPr>
      </w:pPr>
    </w:p>
    <w:p w14:paraId="2286635F" w14:textId="189EF5AD" w:rsidR="00BD0302" w:rsidRDefault="00BD0302" w:rsidP="0007657F">
      <w:pPr>
        <w:rPr>
          <w:rFonts w:ascii="Times New Roman" w:hAnsi="Times New Roman" w:cs="Times New Roman"/>
        </w:rPr>
      </w:pPr>
    </w:p>
    <w:p w14:paraId="2543B03C" w14:textId="30CCC517" w:rsidR="00BD0302" w:rsidRDefault="00BD0302" w:rsidP="0007657F">
      <w:pPr>
        <w:rPr>
          <w:rFonts w:ascii="Times New Roman" w:hAnsi="Times New Roman" w:cs="Times New Roman"/>
        </w:rPr>
      </w:pPr>
    </w:p>
    <w:p w14:paraId="055AD2E5" w14:textId="0859453B" w:rsidR="00BD0302" w:rsidRDefault="00BD0302" w:rsidP="0007657F">
      <w:pPr>
        <w:rPr>
          <w:rFonts w:ascii="Times New Roman" w:hAnsi="Times New Roman" w:cs="Times New Roman"/>
        </w:rPr>
      </w:pPr>
    </w:p>
    <w:p w14:paraId="45627CD5" w14:textId="77777777" w:rsidR="00BD0302" w:rsidRPr="00BD0302" w:rsidRDefault="00BD0302" w:rsidP="00BD0302">
      <w:pPr>
        <w:rPr>
          <w:rFonts w:ascii="Times New Roman" w:hAnsi="Times New Roman" w:cs="Times New Roman"/>
        </w:rPr>
      </w:pPr>
      <w:r w:rsidRPr="00BD0302">
        <w:rPr>
          <w:rFonts w:ascii="Times New Roman" w:hAnsi="Times New Roman" w:cs="Times New Roman"/>
        </w:rPr>
        <w:lastRenderedPageBreak/>
        <w:t>ASSESSMENT OF SAFETY OF REMDESIVIR IN PATIENT WITH ESTIMATED GLOMERULAR FILTRATION RATE (EGFR) &lt; 30ML/MIN PER 1.73 M^2</w:t>
      </w:r>
    </w:p>
    <w:p w14:paraId="6E5BC813" w14:textId="77777777" w:rsidR="00BD0302" w:rsidRPr="00BD0302" w:rsidRDefault="00BD0302" w:rsidP="00BD0302">
      <w:pPr>
        <w:rPr>
          <w:rFonts w:ascii="Times New Roman" w:hAnsi="Times New Roman" w:cs="Times New Roman"/>
        </w:rPr>
      </w:pPr>
    </w:p>
    <w:p w14:paraId="521772CB" w14:textId="77777777" w:rsidR="00BD0302" w:rsidRPr="00BD0302" w:rsidRDefault="00BD0302" w:rsidP="00BD0302">
      <w:pPr>
        <w:rPr>
          <w:rFonts w:ascii="Times New Roman" w:hAnsi="Times New Roman" w:cs="Times New Roman"/>
        </w:rPr>
      </w:pPr>
      <w:r w:rsidRPr="00BD0302">
        <w:rPr>
          <w:rFonts w:ascii="Times New Roman" w:hAnsi="Times New Roman" w:cs="Times New Roman"/>
        </w:rPr>
        <w:t xml:space="preserve">Huynh D*, Wang S, Masani N, Joseph D’A, Islam S, Malone B, </w:t>
      </w:r>
    </w:p>
    <w:p w14:paraId="689BB32E" w14:textId="77777777" w:rsidR="00BD0302" w:rsidRPr="00BD0302" w:rsidRDefault="00BD0302" w:rsidP="00BD0302">
      <w:pPr>
        <w:rPr>
          <w:rFonts w:ascii="Times New Roman" w:hAnsi="Times New Roman" w:cs="Times New Roman"/>
        </w:rPr>
      </w:pPr>
    </w:p>
    <w:p w14:paraId="3835D8F5" w14:textId="77777777" w:rsidR="00BD0302" w:rsidRPr="00BD0302" w:rsidRDefault="00BD0302" w:rsidP="00BD0302">
      <w:pPr>
        <w:rPr>
          <w:rFonts w:ascii="Times New Roman" w:eastAsia="Times New Roman" w:hAnsi="Times New Roman" w:cs="Times New Roman"/>
        </w:rPr>
      </w:pPr>
      <w:r w:rsidRPr="00BD0302">
        <w:rPr>
          <w:rFonts w:ascii="Times New Roman" w:hAnsi="Times New Roman" w:cs="Times New Roman"/>
        </w:rPr>
        <w:t xml:space="preserve">NYU Langone Hospital—Long Island, </w:t>
      </w:r>
      <w:r w:rsidRPr="00BD0302">
        <w:rPr>
          <w:rFonts w:ascii="Times New Roman" w:eastAsia="Times New Roman" w:hAnsi="Times New Roman" w:cs="Times New Roman"/>
          <w:color w:val="202124"/>
          <w:shd w:val="clear" w:color="auto" w:fill="FFFFFF"/>
        </w:rPr>
        <w:t>259 1st St, Mineola, NY 11501</w:t>
      </w:r>
    </w:p>
    <w:p w14:paraId="04D10267" w14:textId="77777777" w:rsidR="00BD0302" w:rsidRPr="00BD0302" w:rsidRDefault="00BD0302" w:rsidP="00BD0302">
      <w:pPr>
        <w:rPr>
          <w:rFonts w:ascii="Times New Roman" w:hAnsi="Times New Roman" w:cs="Times New Roman"/>
          <w:b/>
        </w:rPr>
      </w:pPr>
    </w:p>
    <w:p w14:paraId="6155E343" w14:textId="77777777" w:rsidR="00BD0302" w:rsidRPr="00BD0302" w:rsidRDefault="00BD0302" w:rsidP="00BD0302">
      <w:pPr>
        <w:rPr>
          <w:rFonts w:ascii="Times New Roman" w:eastAsia="Times New Roman" w:hAnsi="Times New Roman" w:cs="Times New Roman"/>
        </w:rPr>
      </w:pPr>
      <w:r w:rsidRPr="00BD0302">
        <w:rPr>
          <w:rFonts w:ascii="Times New Roman" w:hAnsi="Times New Roman" w:cs="Times New Roman"/>
          <w:b/>
        </w:rPr>
        <w:t>Background</w:t>
      </w:r>
      <w:r w:rsidRPr="00BD0302">
        <w:rPr>
          <w:rFonts w:ascii="Times New Roman" w:hAnsi="Times New Roman" w:cs="Times New Roman"/>
        </w:rPr>
        <w:t xml:space="preserve">: </w:t>
      </w:r>
      <w:r w:rsidRPr="00BD0302">
        <w:rPr>
          <w:rFonts w:ascii="Times New Roman" w:hAnsi="Times New Roman" w:cs="Times New Roman"/>
          <w:color w:val="000000" w:themeColor="text1"/>
        </w:rPr>
        <w:t>The package insert states that remdesivir is not recommended in patient with eGFR&lt;30</w:t>
      </w:r>
      <w:r w:rsidRPr="00BD0302">
        <w:rPr>
          <w:rFonts w:ascii="Times New Roman" w:eastAsia="Times New Roman" w:hAnsi="Times New Roman" w:cs="Times New Roman"/>
          <w:color w:val="000000"/>
          <w:shd w:val="clear" w:color="auto" w:fill="FFFFFF"/>
        </w:rPr>
        <w:t>ml/min/1.73m2</w:t>
      </w:r>
      <w:r w:rsidRPr="00BD0302">
        <w:rPr>
          <w:rFonts w:ascii="Times New Roman" w:hAnsi="Times New Roman" w:cs="Times New Roman"/>
          <w:color w:val="000000" w:themeColor="text1"/>
        </w:rPr>
        <w:t xml:space="preserve"> due to potential build-up of excipient, sulfobutylether-b-cyclodextrin. The lack of safety data has led the FDA to recommend that providers weigh the risks versus benefits of using it in this patient population.</w:t>
      </w:r>
    </w:p>
    <w:p w14:paraId="36FC63DF" w14:textId="77777777" w:rsidR="00BD0302" w:rsidRPr="00BD0302" w:rsidRDefault="00BD0302" w:rsidP="00BD0302">
      <w:pPr>
        <w:rPr>
          <w:rFonts w:ascii="Times New Roman" w:hAnsi="Times New Roman" w:cs="Times New Roman"/>
          <w:color w:val="000000" w:themeColor="text1"/>
        </w:rPr>
      </w:pPr>
    </w:p>
    <w:p w14:paraId="0B903662" w14:textId="77777777" w:rsidR="00BD0302" w:rsidRPr="00BD0302" w:rsidRDefault="00BD0302" w:rsidP="00BD0302">
      <w:pPr>
        <w:rPr>
          <w:rFonts w:ascii="Times New Roman" w:hAnsi="Times New Roman" w:cs="Times New Roman"/>
          <w:color w:val="000000" w:themeColor="text1"/>
        </w:rPr>
      </w:pPr>
      <w:r w:rsidRPr="00BD0302">
        <w:rPr>
          <w:rFonts w:ascii="Times New Roman" w:hAnsi="Times New Roman" w:cs="Times New Roman"/>
          <w:b/>
          <w:color w:val="000000" w:themeColor="text1"/>
        </w:rPr>
        <w:t>Objective</w:t>
      </w:r>
      <w:r w:rsidRPr="00BD0302">
        <w:rPr>
          <w:rFonts w:ascii="Times New Roman" w:hAnsi="Times New Roman" w:cs="Times New Roman"/>
          <w:color w:val="000000" w:themeColor="text1"/>
        </w:rPr>
        <w:t>: The primary objective is to examine if there is a significant nephrotoxic risk with initiating remdesivir in patients with renal insufficiency (defined as eGFR &lt; 30</w:t>
      </w:r>
      <w:r w:rsidRPr="00BD0302">
        <w:rPr>
          <w:rFonts w:ascii="Times New Roman" w:eastAsia="Times New Roman" w:hAnsi="Times New Roman" w:cs="Times New Roman"/>
          <w:color w:val="000000"/>
          <w:shd w:val="clear" w:color="auto" w:fill="FFFFFF"/>
        </w:rPr>
        <w:t>ml/min/1.73m2</w:t>
      </w:r>
      <w:r w:rsidRPr="00BD0302">
        <w:rPr>
          <w:rFonts w:ascii="Times New Roman" w:hAnsi="Times New Roman" w:cs="Times New Roman"/>
          <w:color w:val="000000" w:themeColor="text1"/>
        </w:rPr>
        <w:t>).</w:t>
      </w:r>
    </w:p>
    <w:p w14:paraId="3683154F" w14:textId="77777777" w:rsidR="00BD0302" w:rsidRPr="00BD0302" w:rsidRDefault="00BD0302" w:rsidP="00BD0302">
      <w:pPr>
        <w:rPr>
          <w:rFonts w:ascii="Times New Roman" w:hAnsi="Times New Roman" w:cs="Times New Roman"/>
          <w:color w:val="000000" w:themeColor="text1"/>
        </w:rPr>
      </w:pPr>
    </w:p>
    <w:p w14:paraId="5DD54B05" w14:textId="77777777" w:rsidR="00BD0302" w:rsidRPr="00BD0302" w:rsidRDefault="00BD0302" w:rsidP="00BD0302">
      <w:pPr>
        <w:rPr>
          <w:rFonts w:ascii="Times New Roman" w:eastAsia="Times New Roman" w:hAnsi="Times New Roman" w:cs="Times New Roman"/>
        </w:rPr>
      </w:pPr>
      <w:r w:rsidRPr="00BD0302">
        <w:rPr>
          <w:rFonts w:ascii="Times New Roman" w:hAnsi="Times New Roman" w:cs="Times New Roman"/>
          <w:b/>
          <w:color w:val="000000" w:themeColor="text1"/>
        </w:rPr>
        <w:t>Methods:</w:t>
      </w:r>
      <w:r w:rsidRPr="00BD0302">
        <w:rPr>
          <w:rFonts w:ascii="Times New Roman" w:hAnsi="Times New Roman" w:cs="Times New Roman"/>
          <w:color w:val="000000" w:themeColor="text1"/>
        </w:rPr>
        <w:t xml:space="preserve"> This is a retrospective chart review approved by institutional review board. Inclusion criteria include all patients ages 18 years and older admitted with coronavirus disease 2019 (COVID19) receiving remdesivir with a baseline eGFR&lt;30</w:t>
      </w:r>
      <w:r w:rsidRPr="00BD0302">
        <w:rPr>
          <w:rFonts w:ascii="Times New Roman" w:eastAsia="Times New Roman" w:hAnsi="Times New Roman" w:cs="Times New Roman"/>
          <w:color w:val="000000"/>
          <w:shd w:val="clear" w:color="auto" w:fill="FFFFFF"/>
        </w:rPr>
        <w:t>ml/min/1.73m2</w:t>
      </w:r>
      <w:r w:rsidRPr="00BD0302">
        <w:rPr>
          <w:rFonts w:ascii="Times New Roman" w:eastAsia="Times New Roman" w:hAnsi="Times New Roman" w:cs="Times New Roman"/>
        </w:rPr>
        <w:t xml:space="preserve">. </w:t>
      </w:r>
      <w:r w:rsidRPr="00BD0302">
        <w:rPr>
          <w:rFonts w:ascii="Times New Roman" w:hAnsi="Times New Roman" w:cs="Times New Roman"/>
          <w:color w:val="000000" w:themeColor="text1"/>
        </w:rPr>
        <w:t xml:space="preserve">The primary outcome is the incidence of acute kidney injury (AKI) during treatment and change in eGFR from baseline to end of treatment and within 48 hours of completion of therapy. </w:t>
      </w:r>
    </w:p>
    <w:p w14:paraId="5AABD80E" w14:textId="77777777" w:rsidR="00BD0302" w:rsidRPr="00BD0302" w:rsidRDefault="00BD0302" w:rsidP="00BD0302">
      <w:pPr>
        <w:rPr>
          <w:rFonts w:ascii="Times New Roman" w:hAnsi="Times New Roman" w:cs="Times New Roman"/>
        </w:rPr>
      </w:pPr>
    </w:p>
    <w:p w14:paraId="0D8C77BE" w14:textId="77777777" w:rsidR="00BD0302" w:rsidRPr="00BD0302" w:rsidRDefault="00BD0302" w:rsidP="00BD0302">
      <w:pPr>
        <w:rPr>
          <w:rFonts w:ascii="Times New Roman" w:eastAsia="Times New Roman" w:hAnsi="Times New Roman" w:cs="Times New Roman"/>
        </w:rPr>
      </w:pPr>
      <w:r w:rsidRPr="00BD0302">
        <w:rPr>
          <w:rFonts w:ascii="Times New Roman" w:hAnsi="Times New Roman" w:cs="Times New Roman"/>
          <w:b/>
        </w:rPr>
        <w:t xml:space="preserve">Results: </w:t>
      </w:r>
      <w:r w:rsidRPr="00BD0302">
        <w:rPr>
          <w:rFonts w:ascii="Times New Roman" w:hAnsi="Times New Roman" w:cs="Times New Roman"/>
          <w:bCs/>
          <w:color w:val="000000" w:themeColor="text1"/>
        </w:rPr>
        <w:t xml:space="preserve">A total of 39 patients with eGFR&lt;30 </w:t>
      </w:r>
      <w:r w:rsidRPr="00BD0302">
        <w:rPr>
          <w:rFonts w:ascii="Times New Roman" w:eastAsia="Times New Roman" w:hAnsi="Times New Roman" w:cs="Times New Roman"/>
          <w:color w:val="000000"/>
          <w:shd w:val="clear" w:color="auto" w:fill="FFFFFF"/>
        </w:rPr>
        <w:t xml:space="preserve">ml/min/1.73m2 </w:t>
      </w:r>
      <w:r w:rsidRPr="00BD0302">
        <w:rPr>
          <w:rFonts w:ascii="Times New Roman" w:hAnsi="Times New Roman" w:cs="Times New Roman"/>
          <w:bCs/>
          <w:color w:val="000000" w:themeColor="text1"/>
        </w:rPr>
        <w:t xml:space="preserve">prior to remdesivir initiation were identified and reviewed. The median baseline eGFR for all patients prior to remdesivir was 27.2 </w:t>
      </w:r>
      <w:r w:rsidRPr="00BD0302">
        <w:rPr>
          <w:rFonts w:ascii="Times New Roman" w:eastAsia="Times New Roman" w:hAnsi="Times New Roman" w:cs="Times New Roman"/>
          <w:color w:val="000000"/>
          <w:shd w:val="clear" w:color="auto" w:fill="FFFFFF"/>
        </w:rPr>
        <w:t>ml/min/1.73m2</w:t>
      </w:r>
      <w:r w:rsidRPr="00BD0302">
        <w:rPr>
          <w:rFonts w:ascii="Times New Roman" w:hAnsi="Times New Roman" w:cs="Times New Roman"/>
          <w:bCs/>
          <w:color w:val="000000" w:themeColor="text1"/>
        </w:rPr>
        <w:t>. Nine patients met the criteria for AKI. An improvement in eGFR was seen at the end of treatment day 5 or 10 with a final median (95% CI) change from baseline in eGFR of 9.3</w:t>
      </w:r>
      <w:r w:rsidRPr="00BD0302">
        <w:rPr>
          <w:rFonts w:ascii="Times New Roman" w:eastAsia="Times New Roman" w:hAnsi="Times New Roman" w:cs="Times New Roman"/>
          <w:color w:val="000000"/>
          <w:shd w:val="clear" w:color="auto" w:fill="FFFFFF"/>
        </w:rPr>
        <w:t xml:space="preserve"> ml/min/1.73m2(</w:t>
      </w:r>
      <w:r w:rsidRPr="00BD0302">
        <w:rPr>
          <w:rFonts w:ascii="Times New Roman" w:hAnsi="Times New Roman" w:cs="Times New Roman"/>
          <w:bCs/>
          <w:color w:val="000000" w:themeColor="text1"/>
        </w:rPr>
        <w:t>6.6-14.8). A similar eGFR improvement trend was observed within 48 hours of completion of therapy.</w:t>
      </w:r>
      <w:r w:rsidRPr="00BD0302">
        <w:rPr>
          <w:rFonts w:ascii="Times New Roman" w:hAnsi="Times New Roman" w:cs="Times New Roman"/>
        </w:rPr>
        <w:t xml:space="preserve"> </w:t>
      </w:r>
      <w:r w:rsidRPr="00BD0302">
        <w:rPr>
          <w:rFonts w:ascii="Times New Roman" w:hAnsi="Times New Roman" w:cs="Times New Roman"/>
          <w:bCs/>
          <w:color w:val="000000" w:themeColor="text1"/>
        </w:rPr>
        <w:t xml:space="preserve">There were no significant changes in or discontinuation of therapy due to elevated liver function test. </w:t>
      </w:r>
    </w:p>
    <w:p w14:paraId="60DA61A7" w14:textId="77777777" w:rsidR="00BD0302" w:rsidRPr="00BD0302" w:rsidRDefault="00BD0302" w:rsidP="00BD0302">
      <w:pPr>
        <w:rPr>
          <w:rFonts w:ascii="Times New Roman" w:eastAsia="Times New Roman" w:hAnsi="Times New Roman" w:cs="Times New Roman"/>
        </w:rPr>
      </w:pPr>
    </w:p>
    <w:p w14:paraId="34E13543" w14:textId="77777777" w:rsidR="00BD0302" w:rsidRPr="00BD0302" w:rsidRDefault="00BD0302" w:rsidP="00BD0302">
      <w:pPr>
        <w:rPr>
          <w:rFonts w:ascii="Times New Roman" w:hAnsi="Times New Roman" w:cs="Times New Roman"/>
          <w:color w:val="000000" w:themeColor="text1"/>
        </w:rPr>
      </w:pPr>
      <w:r w:rsidRPr="00BD0302">
        <w:rPr>
          <w:rFonts w:ascii="Times New Roman" w:hAnsi="Times New Roman" w:cs="Times New Roman"/>
          <w:b/>
          <w:bCs/>
          <w:color w:val="000000" w:themeColor="text1"/>
        </w:rPr>
        <w:t xml:space="preserve">Conclusion: </w:t>
      </w:r>
      <w:r w:rsidRPr="00BD0302">
        <w:rPr>
          <w:rFonts w:ascii="Times New Roman" w:hAnsi="Times New Roman" w:cs="Times New Roman"/>
          <w:color w:val="000000" w:themeColor="text1"/>
        </w:rPr>
        <w:t xml:space="preserve">Remdesivir may be considered as a therapeutic option in this population with COVID-19 infection. </w:t>
      </w:r>
    </w:p>
    <w:p w14:paraId="63C19816" w14:textId="77777777" w:rsidR="00BD0302" w:rsidRPr="00BD0302" w:rsidRDefault="00BD0302" w:rsidP="0007657F">
      <w:pPr>
        <w:rPr>
          <w:rFonts w:ascii="Times New Roman" w:hAnsi="Times New Roman" w:cs="Times New Roman"/>
          <w:sz w:val="24"/>
          <w:szCs w:val="24"/>
        </w:rPr>
      </w:pPr>
    </w:p>
    <w:p w14:paraId="7E2CB9B1" w14:textId="77777777" w:rsidR="0007657F" w:rsidRPr="00BD0302" w:rsidRDefault="0007657F" w:rsidP="0007657F">
      <w:pPr>
        <w:rPr>
          <w:sz w:val="24"/>
          <w:szCs w:val="24"/>
        </w:rPr>
      </w:pPr>
    </w:p>
    <w:p w14:paraId="6D812BCE" w14:textId="0F7A6A09" w:rsidR="0007657F" w:rsidRDefault="0007657F" w:rsidP="0007657F"/>
    <w:p w14:paraId="664299D5" w14:textId="241473EC" w:rsidR="0007657F" w:rsidRDefault="0007657F" w:rsidP="0007657F"/>
    <w:p w14:paraId="356763CE" w14:textId="5A6C97B2" w:rsidR="00BD0302" w:rsidRDefault="00BD0302" w:rsidP="0007657F"/>
    <w:p w14:paraId="0D302E05" w14:textId="77777777" w:rsidR="00BD0302" w:rsidRPr="00BD0302" w:rsidRDefault="00BD0302" w:rsidP="00BD0302">
      <w:pPr>
        <w:widowControl w:val="0"/>
        <w:spacing w:line="240" w:lineRule="auto"/>
        <w:rPr>
          <w:rFonts w:ascii="Times New Roman" w:eastAsia="Times New Roman" w:hAnsi="Times New Roman" w:cs="Times New Roman"/>
        </w:rPr>
      </w:pPr>
      <w:r w:rsidRPr="00BD0302">
        <w:rPr>
          <w:rFonts w:ascii="Times New Roman" w:eastAsia="Times New Roman" w:hAnsi="Times New Roman" w:cs="Times New Roman"/>
        </w:rPr>
        <w:lastRenderedPageBreak/>
        <w:t>ANTICOAGULATION MANAGEMENT FOR IMPELLA PERCUTANEOUS VENTRICULAR ASSIST DEVICES: AN ANALYSIS OF A LARGE ACADEMIC HEALTH-SYSTEM EXPERIENCE</w:t>
      </w:r>
    </w:p>
    <w:p w14:paraId="0C6233B6" w14:textId="77777777" w:rsidR="00BD0302" w:rsidRPr="00BD0302" w:rsidRDefault="00BD0302" w:rsidP="00BD0302">
      <w:pPr>
        <w:widowControl w:val="0"/>
        <w:spacing w:line="240" w:lineRule="auto"/>
        <w:rPr>
          <w:rFonts w:ascii="Times New Roman" w:eastAsia="Times New Roman" w:hAnsi="Times New Roman" w:cs="Times New Roman"/>
        </w:rPr>
      </w:pPr>
    </w:p>
    <w:p w14:paraId="2E6681F1" w14:textId="77777777" w:rsidR="00BD0302" w:rsidRPr="00BD0302" w:rsidRDefault="00BD0302" w:rsidP="00BD0302">
      <w:pPr>
        <w:widowControl w:val="0"/>
        <w:spacing w:line="240" w:lineRule="auto"/>
        <w:rPr>
          <w:rFonts w:ascii="Times New Roman" w:eastAsia="Times New Roman" w:hAnsi="Times New Roman" w:cs="Times New Roman"/>
          <w:u w:val="single"/>
        </w:rPr>
      </w:pPr>
      <w:r w:rsidRPr="00BD0302">
        <w:rPr>
          <w:rFonts w:ascii="Times New Roman" w:eastAsia="Times New Roman" w:hAnsi="Times New Roman" w:cs="Times New Roman"/>
          <w:u w:val="single"/>
        </w:rPr>
        <w:t>Iskaros O</w:t>
      </w:r>
      <w:r w:rsidRPr="00BD0302">
        <w:rPr>
          <w:rFonts w:ascii="Times New Roman" w:eastAsia="Times New Roman" w:hAnsi="Times New Roman" w:cs="Times New Roman"/>
        </w:rPr>
        <w:t xml:space="preserve">*, </w:t>
      </w:r>
      <w:r w:rsidRPr="00BD0302">
        <w:rPr>
          <w:rFonts w:ascii="Times New Roman" w:eastAsia="Times New Roman" w:hAnsi="Times New Roman" w:cs="Times New Roman"/>
          <w:u w:val="single"/>
        </w:rPr>
        <w:t>Lewis T</w:t>
      </w:r>
      <w:r w:rsidRPr="00BD0302">
        <w:rPr>
          <w:rFonts w:ascii="Times New Roman" w:eastAsia="Times New Roman" w:hAnsi="Times New Roman" w:cs="Times New Roman"/>
        </w:rPr>
        <w:t xml:space="preserve">, </w:t>
      </w:r>
      <w:r w:rsidRPr="00BD0302">
        <w:rPr>
          <w:rFonts w:ascii="Times New Roman" w:eastAsia="Times New Roman" w:hAnsi="Times New Roman" w:cs="Times New Roman"/>
          <w:u w:val="single"/>
        </w:rPr>
        <w:t>Arnouk S</w:t>
      </w:r>
      <w:r w:rsidRPr="00BD0302">
        <w:rPr>
          <w:rFonts w:ascii="Times New Roman" w:eastAsia="Times New Roman" w:hAnsi="Times New Roman" w:cs="Times New Roman"/>
        </w:rPr>
        <w:t xml:space="preserve">, </w:t>
      </w:r>
      <w:r w:rsidRPr="00BD0302">
        <w:rPr>
          <w:rFonts w:ascii="Times New Roman" w:eastAsia="Times New Roman" w:hAnsi="Times New Roman" w:cs="Times New Roman"/>
          <w:u w:val="single"/>
        </w:rPr>
        <w:t>Altshuler D</w:t>
      </w:r>
      <w:r w:rsidRPr="00BD0302">
        <w:rPr>
          <w:rFonts w:ascii="Times New Roman" w:eastAsia="Times New Roman" w:hAnsi="Times New Roman" w:cs="Times New Roman"/>
        </w:rPr>
        <w:t xml:space="preserve">, </w:t>
      </w:r>
      <w:r w:rsidRPr="00BD0302">
        <w:rPr>
          <w:rFonts w:ascii="Times New Roman" w:eastAsia="Times New Roman" w:hAnsi="Times New Roman" w:cs="Times New Roman"/>
          <w:u w:val="single"/>
        </w:rPr>
        <w:t>Ahuja T</w:t>
      </w:r>
      <w:r w:rsidRPr="00BD0302">
        <w:rPr>
          <w:rFonts w:ascii="Times New Roman" w:eastAsia="Times New Roman" w:hAnsi="Times New Roman" w:cs="Times New Roman"/>
        </w:rPr>
        <w:t xml:space="preserve">, </w:t>
      </w:r>
      <w:r w:rsidRPr="00BD0302">
        <w:rPr>
          <w:rFonts w:ascii="Times New Roman" w:eastAsia="Times New Roman" w:hAnsi="Times New Roman" w:cs="Times New Roman"/>
          <w:u w:val="single"/>
        </w:rPr>
        <w:t>Toy B</w:t>
      </w:r>
      <w:r w:rsidRPr="00BD0302">
        <w:rPr>
          <w:rFonts w:ascii="Times New Roman" w:eastAsia="Times New Roman" w:hAnsi="Times New Roman" w:cs="Times New Roman"/>
        </w:rPr>
        <w:t xml:space="preserve">, </w:t>
      </w:r>
      <w:r w:rsidRPr="00BD0302">
        <w:rPr>
          <w:rFonts w:ascii="Times New Roman" w:eastAsia="Times New Roman" w:hAnsi="Times New Roman" w:cs="Times New Roman"/>
          <w:u w:val="single"/>
        </w:rPr>
        <w:t>Smith D</w:t>
      </w:r>
      <w:r w:rsidRPr="00BD0302">
        <w:rPr>
          <w:rFonts w:ascii="Times New Roman" w:eastAsia="Times New Roman" w:hAnsi="Times New Roman" w:cs="Times New Roman"/>
        </w:rPr>
        <w:t xml:space="preserve">, </w:t>
      </w:r>
      <w:r w:rsidRPr="00BD0302">
        <w:rPr>
          <w:rFonts w:ascii="Times New Roman" w:eastAsia="Times New Roman" w:hAnsi="Times New Roman" w:cs="Times New Roman"/>
          <w:u w:val="single"/>
        </w:rPr>
        <w:t>Papadopoulos J</w:t>
      </w:r>
      <w:r w:rsidRPr="00BD0302">
        <w:rPr>
          <w:rFonts w:ascii="Times New Roman" w:eastAsia="Times New Roman" w:hAnsi="Times New Roman" w:cs="Times New Roman"/>
        </w:rPr>
        <w:t xml:space="preserve">, </w:t>
      </w:r>
      <w:r w:rsidRPr="00BD0302">
        <w:rPr>
          <w:rFonts w:ascii="Times New Roman" w:eastAsia="Times New Roman" w:hAnsi="Times New Roman" w:cs="Times New Roman"/>
          <w:u w:val="single"/>
        </w:rPr>
        <w:t>Merchan C</w:t>
      </w:r>
    </w:p>
    <w:p w14:paraId="2D93D690" w14:textId="77777777" w:rsidR="00BD0302" w:rsidRPr="00BD0302" w:rsidRDefault="00BD0302" w:rsidP="00BD0302">
      <w:pPr>
        <w:widowControl w:val="0"/>
        <w:spacing w:line="240" w:lineRule="auto"/>
        <w:rPr>
          <w:rFonts w:ascii="Times New Roman" w:eastAsia="Times New Roman" w:hAnsi="Times New Roman" w:cs="Times New Roman"/>
        </w:rPr>
      </w:pPr>
    </w:p>
    <w:p w14:paraId="1B9B2E41" w14:textId="77777777" w:rsidR="00BD0302" w:rsidRPr="00BD0302" w:rsidRDefault="00BD0302" w:rsidP="00BD0302">
      <w:pPr>
        <w:spacing w:line="240" w:lineRule="auto"/>
        <w:rPr>
          <w:rFonts w:ascii="Times New Roman" w:eastAsia="Times New Roman" w:hAnsi="Times New Roman" w:cs="Times New Roman"/>
        </w:rPr>
      </w:pPr>
      <w:r w:rsidRPr="00BD0302">
        <w:rPr>
          <w:rFonts w:ascii="Times New Roman" w:eastAsia="Times New Roman" w:hAnsi="Times New Roman" w:cs="Times New Roman"/>
        </w:rPr>
        <w:t>NYU Langone Health, 550 First Avenue, New York, NY 10016</w:t>
      </w:r>
    </w:p>
    <w:p w14:paraId="2B4A2238" w14:textId="77777777" w:rsidR="00BD0302" w:rsidRPr="00BD0302" w:rsidRDefault="00BD0302" w:rsidP="00BD0302">
      <w:pPr>
        <w:widowControl w:val="0"/>
        <w:spacing w:line="240" w:lineRule="auto"/>
        <w:rPr>
          <w:rFonts w:ascii="Times New Roman" w:eastAsia="Times New Roman" w:hAnsi="Times New Roman" w:cs="Times New Roman"/>
        </w:rPr>
      </w:pPr>
    </w:p>
    <w:p w14:paraId="560F976F" w14:textId="77777777" w:rsidR="00BD0302" w:rsidRPr="00BD0302" w:rsidRDefault="00BD0302" w:rsidP="00BD0302">
      <w:pPr>
        <w:widowControl w:val="0"/>
        <w:spacing w:line="240" w:lineRule="auto"/>
        <w:rPr>
          <w:rFonts w:ascii="Times New Roman" w:eastAsia="Times New Roman" w:hAnsi="Times New Roman" w:cs="Times New Roman"/>
        </w:rPr>
      </w:pPr>
      <w:r w:rsidRPr="00BD0302">
        <w:rPr>
          <w:rFonts w:ascii="Times New Roman" w:eastAsia="Times New Roman" w:hAnsi="Times New Roman" w:cs="Times New Roman"/>
          <w:b/>
        </w:rPr>
        <w:t>Background</w:t>
      </w:r>
      <w:r w:rsidRPr="00BD0302">
        <w:rPr>
          <w:rFonts w:ascii="Times New Roman" w:eastAsia="Times New Roman" w:hAnsi="Times New Roman" w:cs="Times New Roman"/>
        </w:rPr>
        <w:t xml:space="preserve">: The Impella device is a percutaneous ventricular assist device (pVAD) that is utilized in various etiologies of cardiogenic shock as a form of temporary mechanical circulatory support (MCS). The manufacturer recommends administration of 5% dextrose with heparin 50 units/mL via a continuous purge solution that protects the pump by preventing blood from entering the motor, reducing the risk for pump thrombosis and device failure. Currently, large volume Impella centers may have high practice variability, even with a standardized protocol. Little consensus exists on the ideal strategy to balance bleeding and risk of thrombosis. This particularly applies to the management of different heparin purge concentrations, initiation of systemic heparin, and goal therapeutic range or laboratory monitoring parameter for anticoagulation. </w:t>
      </w:r>
    </w:p>
    <w:p w14:paraId="2F31560A" w14:textId="77777777" w:rsidR="00BD0302" w:rsidRPr="00BD0302" w:rsidRDefault="00BD0302" w:rsidP="00BD0302">
      <w:pPr>
        <w:widowControl w:val="0"/>
        <w:spacing w:line="240" w:lineRule="auto"/>
        <w:rPr>
          <w:rFonts w:ascii="Times New Roman" w:eastAsia="Times New Roman" w:hAnsi="Times New Roman" w:cs="Times New Roman"/>
        </w:rPr>
      </w:pPr>
    </w:p>
    <w:p w14:paraId="12BE99DF" w14:textId="77777777" w:rsidR="00BD0302" w:rsidRPr="00BD0302" w:rsidRDefault="00BD0302" w:rsidP="00BD0302">
      <w:pPr>
        <w:widowControl w:val="0"/>
        <w:spacing w:line="240" w:lineRule="auto"/>
        <w:rPr>
          <w:rFonts w:ascii="Times New Roman" w:eastAsia="Times New Roman" w:hAnsi="Times New Roman" w:cs="Times New Roman"/>
          <w:b/>
        </w:rPr>
      </w:pPr>
      <w:r w:rsidRPr="00BD0302">
        <w:rPr>
          <w:rFonts w:ascii="Times New Roman" w:eastAsia="Times New Roman" w:hAnsi="Times New Roman" w:cs="Times New Roman"/>
          <w:b/>
        </w:rPr>
        <w:t xml:space="preserve">Objective: </w:t>
      </w:r>
      <w:r w:rsidRPr="00BD0302">
        <w:rPr>
          <w:rFonts w:ascii="Times New Roman" w:eastAsia="Times New Roman" w:hAnsi="Times New Roman" w:cs="Times New Roman"/>
        </w:rPr>
        <w:t>The purpose of this study is to describe anticoagulation practices in patients who received an Impella device at our institution.</w:t>
      </w:r>
    </w:p>
    <w:p w14:paraId="3521CA7E" w14:textId="77777777" w:rsidR="00BD0302" w:rsidRPr="00BD0302" w:rsidRDefault="00BD0302" w:rsidP="00BD0302">
      <w:pPr>
        <w:widowControl w:val="0"/>
        <w:spacing w:line="240" w:lineRule="auto"/>
        <w:rPr>
          <w:rFonts w:ascii="Times New Roman" w:eastAsia="Times New Roman" w:hAnsi="Times New Roman" w:cs="Times New Roman"/>
        </w:rPr>
      </w:pPr>
    </w:p>
    <w:p w14:paraId="6C620C60" w14:textId="77777777" w:rsidR="00BD0302" w:rsidRPr="00BD0302" w:rsidRDefault="00BD0302" w:rsidP="00BD0302">
      <w:pPr>
        <w:widowControl w:val="0"/>
        <w:spacing w:line="240" w:lineRule="auto"/>
        <w:rPr>
          <w:rFonts w:ascii="Times New Roman" w:eastAsia="Times New Roman" w:hAnsi="Times New Roman" w:cs="Times New Roman"/>
        </w:rPr>
      </w:pPr>
      <w:r w:rsidRPr="00BD0302">
        <w:rPr>
          <w:rFonts w:ascii="Times New Roman" w:eastAsia="Times New Roman" w:hAnsi="Times New Roman" w:cs="Times New Roman"/>
          <w:b/>
        </w:rPr>
        <w:t xml:space="preserve">Methods: </w:t>
      </w:r>
      <w:r w:rsidRPr="00BD0302">
        <w:rPr>
          <w:rFonts w:ascii="Times New Roman" w:eastAsia="Times New Roman" w:hAnsi="Times New Roman" w:cs="Times New Roman"/>
        </w:rPr>
        <w:t xml:space="preserve">This is a retrospective, institutional review board approved chart review of adult patients requiring at least 24 hours of pVAD support and had received a heparin based purge solution monitored by anti-Xa and/or aPTT levels, between December 2014 to August 2020. Exclusion criteria included a history of heparin-induced thrombocytopenia, a pVAD solution with an alternative anticoagulant, or any use of a dextrose concentration &gt; 5% as the diluent. The primary outcome is a composite endpoint of thrombotic and bleeding events. Secondary outcomes include time in therapeutic range, survival from MCS, and inpatient mortality. </w:t>
      </w:r>
    </w:p>
    <w:p w14:paraId="0881BF75" w14:textId="77777777" w:rsidR="00BD0302" w:rsidRPr="00BD0302" w:rsidRDefault="00BD0302" w:rsidP="00BD0302">
      <w:pPr>
        <w:widowControl w:val="0"/>
        <w:spacing w:line="240" w:lineRule="auto"/>
        <w:rPr>
          <w:rFonts w:ascii="Times New Roman" w:eastAsia="Times New Roman" w:hAnsi="Times New Roman" w:cs="Times New Roman"/>
        </w:rPr>
      </w:pPr>
    </w:p>
    <w:p w14:paraId="749A934A" w14:textId="77777777" w:rsidR="00BD0302" w:rsidRPr="00BD0302" w:rsidRDefault="00BD0302" w:rsidP="00BD0302">
      <w:pPr>
        <w:widowControl w:val="0"/>
        <w:spacing w:line="240" w:lineRule="auto"/>
        <w:rPr>
          <w:rFonts w:ascii="Times New Roman" w:eastAsia="Times New Roman" w:hAnsi="Times New Roman" w:cs="Times New Roman"/>
        </w:rPr>
      </w:pPr>
      <w:r w:rsidRPr="00BD0302">
        <w:rPr>
          <w:rFonts w:ascii="Times New Roman" w:eastAsia="Times New Roman" w:hAnsi="Times New Roman" w:cs="Times New Roman"/>
          <w:b/>
        </w:rPr>
        <w:t>Results:</w:t>
      </w:r>
      <w:r w:rsidRPr="00BD0302">
        <w:rPr>
          <w:rFonts w:ascii="Times New Roman" w:eastAsia="Times New Roman" w:hAnsi="Times New Roman" w:cs="Times New Roman"/>
        </w:rPr>
        <w:t xml:space="preserve"> In progress</w:t>
      </w:r>
    </w:p>
    <w:p w14:paraId="69116907" w14:textId="77777777" w:rsidR="00BD0302" w:rsidRPr="00BD0302" w:rsidRDefault="00BD0302" w:rsidP="00BD0302">
      <w:pPr>
        <w:widowControl w:val="0"/>
        <w:spacing w:line="240" w:lineRule="auto"/>
        <w:rPr>
          <w:rFonts w:ascii="Times New Roman" w:eastAsia="Times New Roman" w:hAnsi="Times New Roman" w:cs="Times New Roman"/>
        </w:rPr>
      </w:pPr>
    </w:p>
    <w:p w14:paraId="5BF72827" w14:textId="33CC4E9D" w:rsidR="00BD0302" w:rsidRDefault="00BD0302" w:rsidP="00BD0302">
      <w:pPr>
        <w:widowControl w:val="0"/>
        <w:spacing w:line="240" w:lineRule="auto"/>
        <w:rPr>
          <w:rFonts w:ascii="Times New Roman" w:eastAsia="Times New Roman" w:hAnsi="Times New Roman" w:cs="Times New Roman"/>
        </w:rPr>
      </w:pPr>
      <w:r w:rsidRPr="00BD0302">
        <w:rPr>
          <w:rFonts w:ascii="Times New Roman" w:eastAsia="Times New Roman" w:hAnsi="Times New Roman" w:cs="Times New Roman"/>
          <w:b/>
        </w:rPr>
        <w:t xml:space="preserve">Conclusion: </w:t>
      </w:r>
      <w:r w:rsidRPr="00BD0302">
        <w:rPr>
          <w:rFonts w:ascii="Times New Roman" w:eastAsia="Times New Roman" w:hAnsi="Times New Roman" w:cs="Times New Roman"/>
        </w:rPr>
        <w:t>In progress</w:t>
      </w:r>
    </w:p>
    <w:p w14:paraId="3FF0ACD6" w14:textId="0F235261" w:rsidR="00BD0302" w:rsidRDefault="00BD0302" w:rsidP="00BD0302">
      <w:pPr>
        <w:widowControl w:val="0"/>
        <w:spacing w:line="240" w:lineRule="auto"/>
        <w:rPr>
          <w:rFonts w:ascii="Times New Roman" w:eastAsia="Times New Roman" w:hAnsi="Times New Roman" w:cs="Times New Roman"/>
        </w:rPr>
      </w:pPr>
    </w:p>
    <w:p w14:paraId="591C1566" w14:textId="256DD2CE" w:rsidR="00BD0302" w:rsidRDefault="00BD0302" w:rsidP="00BD0302">
      <w:pPr>
        <w:widowControl w:val="0"/>
        <w:spacing w:line="240" w:lineRule="auto"/>
        <w:rPr>
          <w:rFonts w:ascii="Times New Roman" w:eastAsia="Times New Roman" w:hAnsi="Times New Roman" w:cs="Times New Roman"/>
        </w:rPr>
      </w:pPr>
    </w:p>
    <w:p w14:paraId="013D0022" w14:textId="1C3ABCEB" w:rsidR="00BD0302" w:rsidRDefault="00BD0302" w:rsidP="00BD0302">
      <w:pPr>
        <w:widowControl w:val="0"/>
        <w:spacing w:line="240" w:lineRule="auto"/>
        <w:rPr>
          <w:rFonts w:ascii="Times New Roman" w:eastAsia="Times New Roman" w:hAnsi="Times New Roman" w:cs="Times New Roman"/>
        </w:rPr>
      </w:pPr>
    </w:p>
    <w:p w14:paraId="146E4F6D" w14:textId="0BC4294D" w:rsidR="00BD0302" w:rsidRDefault="00BD0302" w:rsidP="00BD0302">
      <w:pPr>
        <w:widowControl w:val="0"/>
        <w:spacing w:line="240" w:lineRule="auto"/>
        <w:rPr>
          <w:rFonts w:ascii="Times New Roman" w:eastAsia="Times New Roman" w:hAnsi="Times New Roman" w:cs="Times New Roman"/>
        </w:rPr>
      </w:pPr>
    </w:p>
    <w:p w14:paraId="7F712C56" w14:textId="33BED661" w:rsidR="00077E56" w:rsidRDefault="00077E56" w:rsidP="00BD0302">
      <w:pPr>
        <w:widowControl w:val="0"/>
        <w:spacing w:line="240" w:lineRule="auto"/>
        <w:rPr>
          <w:rFonts w:ascii="Times New Roman" w:eastAsia="Times New Roman" w:hAnsi="Times New Roman" w:cs="Times New Roman"/>
        </w:rPr>
      </w:pPr>
    </w:p>
    <w:p w14:paraId="47E99413" w14:textId="66E26D86" w:rsidR="00077E56" w:rsidRDefault="00077E56" w:rsidP="00BD0302">
      <w:pPr>
        <w:widowControl w:val="0"/>
        <w:spacing w:line="240" w:lineRule="auto"/>
        <w:rPr>
          <w:rFonts w:ascii="Times New Roman" w:eastAsia="Times New Roman" w:hAnsi="Times New Roman" w:cs="Times New Roman"/>
        </w:rPr>
      </w:pPr>
    </w:p>
    <w:p w14:paraId="47B683F9" w14:textId="2004B1BD" w:rsidR="00077E56" w:rsidRDefault="00077E56" w:rsidP="00077E56">
      <w:pPr>
        <w:rPr>
          <w:rFonts w:ascii="Times New Roman" w:hAnsi="Times New Roman" w:cs="Times New Roman"/>
        </w:rPr>
      </w:pPr>
      <w:r>
        <w:rPr>
          <w:rFonts w:ascii="Times New Roman" w:hAnsi="Times New Roman" w:cs="Times New Roman"/>
        </w:rPr>
        <w:lastRenderedPageBreak/>
        <w:t xml:space="preserve">Assessment of Efficacy of Pharmacy Led Medication Reconciliation Education Initiative </w:t>
      </w:r>
    </w:p>
    <w:p w14:paraId="3FF1B742" w14:textId="77777777" w:rsidR="00077E56" w:rsidRDefault="00077E56" w:rsidP="00077E56">
      <w:pPr>
        <w:rPr>
          <w:rFonts w:ascii="Times New Roman" w:hAnsi="Times New Roman" w:cs="Times New Roman"/>
        </w:rPr>
      </w:pPr>
    </w:p>
    <w:p w14:paraId="3710239D" w14:textId="77777777" w:rsidR="00077E56" w:rsidRDefault="00077E56" w:rsidP="00077E56">
      <w:pPr>
        <w:rPr>
          <w:rFonts w:ascii="Times New Roman" w:hAnsi="Times New Roman" w:cs="Times New Roman"/>
        </w:rPr>
      </w:pPr>
      <w:r>
        <w:rPr>
          <w:rFonts w:ascii="Times New Roman" w:hAnsi="Times New Roman" w:cs="Times New Roman"/>
        </w:rPr>
        <w:t>Kleyn E*, Kang K, Schiller L, Sharabun M, Lao P</w:t>
      </w:r>
    </w:p>
    <w:p w14:paraId="01330033" w14:textId="77777777" w:rsidR="00077E56" w:rsidRDefault="00077E56" w:rsidP="00077E56">
      <w:pPr>
        <w:rPr>
          <w:rFonts w:ascii="Times New Roman" w:hAnsi="Times New Roman" w:cs="Times New Roman"/>
        </w:rPr>
      </w:pPr>
    </w:p>
    <w:p w14:paraId="1C9B66EB" w14:textId="77777777" w:rsidR="00077E56" w:rsidRDefault="00077E56" w:rsidP="00077E56">
      <w:pPr>
        <w:rPr>
          <w:rFonts w:ascii="Times New Roman" w:hAnsi="Times New Roman" w:cs="Times New Roman"/>
        </w:rPr>
      </w:pPr>
      <w:r>
        <w:rPr>
          <w:rFonts w:ascii="Times New Roman" w:hAnsi="Times New Roman" w:cs="Times New Roman"/>
        </w:rPr>
        <w:t>BronxCare Health System, 1650 Grand Concourse, Bronx, NY 10457</w:t>
      </w:r>
    </w:p>
    <w:p w14:paraId="10C7F64E" w14:textId="77777777" w:rsidR="00077E56" w:rsidRDefault="00077E56" w:rsidP="00077E56">
      <w:pPr>
        <w:rPr>
          <w:rFonts w:ascii="Times New Roman" w:hAnsi="Times New Roman" w:cs="Times New Roman"/>
          <w:lang w:val="en"/>
        </w:rPr>
      </w:pPr>
    </w:p>
    <w:p w14:paraId="6240BE67" w14:textId="77777777" w:rsidR="00077E56" w:rsidRDefault="00077E56" w:rsidP="00077E56">
      <w:pPr>
        <w:rPr>
          <w:rFonts w:ascii="Times New Roman" w:hAnsi="Times New Roman" w:cs="Times New Roman"/>
        </w:rPr>
      </w:pPr>
      <w:r>
        <w:rPr>
          <w:rFonts w:ascii="Times New Roman" w:hAnsi="Times New Roman" w:cs="Times New Roman"/>
          <w:b/>
          <w:bCs/>
        </w:rPr>
        <w:t>Purpose</w:t>
      </w:r>
      <w:r>
        <w:rPr>
          <w:rFonts w:ascii="Times New Roman" w:hAnsi="Times New Roman" w:cs="Times New Roman"/>
        </w:rPr>
        <w:t xml:space="preserve">: Medication errors are common at the time of hospital admission, and these errors can adversely impact the care of the patient. Due to the impact of improper medication administration, the Joint Commission identified medication reconciliation as a key safety practice and deemed it a National Patient Safety Goal in 2005. Currently, at BronxCare Health System, the medical residents perform medication reconciliation. Due to time constraints and lack of prior experience with the process, many residents have trouble completing it effectively. Therefore, the pharmacy team will assess the change in compliance with medication reconciliation pre and post pharmacy led education. </w:t>
      </w:r>
    </w:p>
    <w:p w14:paraId="68D5501E" w14:textId="77777777" w:rsidR="00077E56" w:rsidRDefault="00077E56" w:rsidP="00077E56">
      <w:pPr>
        <w:rPr>
          <w:rFonts w:ascii="Times New Roman" w:hAnsi="Times New Roman" w:cs="Times New Roman"/>
        </w:rPr>
      </w:pPr>
    </w:p>
    <w:p w14:paraId="5A6F7733" w14:textId="77777777" w:rsidR="00077E56" w:rsidRDefault="00077E56" w:rsidP="00077E56">
      <w:pPr>
        <w:rPr>
          <w:rFonts w:ascii="Times New Roman" w:hAnsi="Times New Roman" w:cs="Times New Roman"/>
        </w:rPr>
      </w:pPr>
      <w:r>
        <w:rPr>
          <w:rFonts w:ascii="Times New Roman" w:hAnsi="Times New Roman" w:cs="Times New Roman"/>
          <w:b/>
          <w:bCs/>
        </w:rPr>
        <w:t>Methods</w:t>
      </w:r>
      <w:r>
        <w:rPr>
          <w:rFonts w:ascii="Times New Roman" w:hAnsi="Times New Roman" w:cs="Times New Roman"/>
        </w:rPr>
        <w:t xml:space="preserve">: The study design is a retrospective chart review which will occur after pharmacy led education. The education will focus on the proper methodology of obtaining and recording medication reconciliation. After educating the services included in this study, a pre and post analysis will be conducted to review the effectiveness of such intervention. The analysis will include adult patients under the care of internal medicine, family medicine, and surgery during the study period. Data collected will include: age, admission date, length of stay, home medications upon admission, medications prescribed during the first 24 hours of admission, discharge medications and clinical service. The primary outcome will be to assess if pharmacy led medication reconciliation education will improve compliance with the Joint Commission's mandate for medication reconciliation. </w:t>
      </w:r>
    </w:p>
    <w:p w14:paraId="013CB360" w14:textId="77777777" w:rsidR="00077E56" w:rsidRDefault="00077E56" w:rsidP="00077E56">
      <w:pPr>
        <w:rPr>
          <w:rFonts w:ascii="Times New Roman" w:hAnsi="Times New Roman" w:cs="Times New Roman"/>
        </w:rPr>
      </w:pPr>
    </w:p>
    <w:p w14:paraId="10BA272B" w14:textId="77777777" w:rsidR="00077E56" w:rsidRDefault="00077E56" w:rsidP="00077E56">
      <w:pPr>
        <w:rPr>
          <w:rFonts w:ascii="Times New Roman" w:hAnsi="Times New Roman" w:cs="Times New Roman"/>
        </w:rPr>
      </w:pPr>
      <w:r>
        <w:rPr>
          <w:rFonts w:ascii="Times New Roman" w:hAnsi="Times New Roman" w:cs="Times New Roman"/>
          <w:b/>
          <w:bCs/>
        </w:rPr>
        <w:t>Results</w:t>
      </w:r>
      <w:r>
        <w:rPr>
          <w:rFonts w:ascii="Times New Roman" w:hAnsi="Times New Roman" w:cs="Times New Roman"/>
        </w:rPr>
        <w:t>: In-progress</w:t>
      </w:r>
    </w:p>
    <w:p w14:paraId="507D666D" w14:textId="77777777" w:rsidR="00077E56" w:rsidRDefault="00077E56" w:rsidP="00077E56">
      <w:pPr>
        <w:rPr>
          <w:rFonts w:ascii="Times New Roman" w:hAnsi="Times New Roman" w:cs="Times New Roman"/>
        </w:rPr>
      </w:pPr>
    </w:p>
    <w:p w14:paraId="75CF45B7" w14:textId="77777777" w:rsidR="00077E56" w:rsidRDefault="00077E56" w:rsidP="00077E56">
      <w:pPr>
        <w:rPr>
          <w:rFonts w:ascii="Times New Roman" w:hAnsi="Times New Roman" w:cs="Times New Roman"/>
        </w:rPr>
      </w:pPr>
      <w:r>
        <w:rPr>
          <w:rFonts w:ascii="Times New Roman" w:hAnsi="Times New Roman" w:cs="Times New Roman"/>
          <w:b/>
          <w:bCs/>
        </w:rPr>
        <w:t>Conclusion</w:t>
      </w:r>
      <w:r>
        <w:rPr>
          <w:rFonts w:ascii="Times New Roman" w:hAnsi="Times New Roman" w:cs="Times New Roman"/>
        </w:rPr>
        <w:t>: In-progress</w:t>
      </w:r>
    </w:p>
    <w:p w14:paraId="1790989B" w14:textId="77777777" w:rsidR="00077E56" w:rsidRPr="00BD0302" w:rsidRDefault="00077E56" w:rsidP="00BD0302">
      <w:pPr>
        <w:widowControl w:val="0"/>
        <w:spacing w:line="240" w:lineRule="auto"/>
        <w:rPr>
          <w:rFonts w:ascii="Times New Roman" w:eastAsia="Times New Roman" w:hAnsi="Times New Roman" w:cs="Times New Roman"/>
        </w:rPr>
      </w:pPr>
    </w:p>
    <w:p w14:paraId="13047AE8" w14:textId="6F23711B" w:rsidR="00BD0302" w:rsidRDefault="00BD0302" w:rsidP="0007657F"/>
    <w:p w14:paraId="3DB703A8" w14:textId="31141EC5" w:rsidR="00077E56" w:rsidRDefault="00077E56" w:rsidP="0007657F"/>
    <w:p w14:paraId="6BED4421" w14:textId="085B9AA8" w:rsidR="00077E56" w:rsidRDefault="00077E56" w:rsidP="0007657F"/>
    <w:p w14:paraId="3D48CB77" w14:textId="2CB2630E" w:rsidR="00077E56" w:rsidRDefault="00077E56" w:rsidP="0007657F"/>
    <w:p w14:paraId="528EED39" w14:textId="502F7514" w:rsidR="00077E56" w:rsidRDefault="00077E56" w:rsidP="0007657F"/>
    <w:p w14:paraId="47AB6425" w14:textId="152DBE27" w:rsidR="00077E56" w:rsidRDefault="00077E56" w:rsidP="0007657F"/>
    <w:p w14:paraId="16E4A86D" w14:textId="5D1E114C" w:rsidR="00077E56" w:rsidRDefault="00077E56" w:rsidP="0007657F"/>
    <w:p w14:paraId="12A8F6A0" w14:textId="77777777" w:rsidR="00077E56" w:rsidRDefault="00077E56" w:rsidP="00077E56">
      <w:pPr>
        <w:spacing w:after="0"/>
        <w:rPr>
          <w:rFonts w:ascii="Times New Roman" w:hAnsi="Times New Roman" w:cs="Times New Roman"/>
          <w:sz w:val="24"/>
          <w:szCs w:val="24"/>
        </w:rPr>
      </w:pPr>
      <w:r>
        <w:rPr>
          <w:rFonts w:ascii="Times New Roman" w:hAnsi="Times New Roman" w:cs="Times New Roman"/>
          <w:sz w:val="24"/>
          <w:szCs w:val="24"/>
        </w:rPr>
        <w:lastRenderedPageBreak/>
        <w:t>INTEGRATION OF AN ON-HOLD FUNCTION INTO A VANCOMYCIN PER PHARMACY DOSING PROTOCOL</w:t>
      </w:r>
    </w:p>
    <w:p w14:paraId="770A065A" w14:textId="77777777" w:rsidR="00077E56" w:rsidRDefault="00077E56" w:rsidP="00077E56">
      <w:pPr>
        <w:spacing w:after="0"/>
        <w:rPr>
          <w:rFonts w:ascii="Times New Roman" w:hAnsi="Times New Roman" w:cs="Times New Roman"/>
          <w:sz w:val="24"/>
          <w:szCs w:val="24"/>
          <w:u w:val="single"/>
        </w:rPr>
      </w:pPr>
      <w:r>
        <w:rPr>
          <w:rFonts w:ascii="Times New Roman" w:hAnsi="Times New Roman" w:cs="Times New Roman"/>
          <w:sz w:val="24"/>
          <w:szCs w:val="24"/>
          <w:u w:val="single"/>
        </w:rPr>
        <w:t>Kwang M*, Lerner P, Adams V</w:t>
      </w:r>
    </w:p>
    <w:p w14:paraId="56A2ADAB" w14:textId="77777777" w:rsidR="00077E56" w:rsidRDefault="00077E56" w:rsidP="00077E56">
      <w:pPr>
        <w:rPr>
          <w:rFonts w:ascii="Times New Roman" w:hAnsi="Times New Roman" w:cs="Times New Roman"/>
          <w:sz w:val="24"/>
          <w:szCs w:val="24"/>
        </w:rPr>
      </w:pPr>
      <w:r>
        <w:rPr>
          <w:rFonts w:ascii="Times New Roman" w:hAnsi="Times New Roman" w:cs="Times New Roman"/>
          <w:sz w:val="24"/>
          <w:szCs w:val="24"/>
        </w:rPr>
        <w:t>The Mount Sinai Hospital, One Gustave L. Levy Place, New York, NY 10029</w:t>
      </w:r>
    </w:p>
    <w:p w14:paraId="39ED6671" w14:textId="77777777" w:rsidR="00077E56" w:rsidRDefault="00077E56" w:rsidP="00077E56">
      <w:pPr>
        <w:rPr>
          <w:rFonts w:ascii="Times New Roman" w:hAnsi="Times New Roman" w:cs="Times New Roman"/>
          <w:color w:val="000000" w:themeColor="text1"/>
          <w:sz w:val="24"/>
          <w:szCs w:val="24"/>
        </w:rPr>
      </w:pPr>
      <w:r>
        <w:rPr>
          <w:rFonts w:ascii="Times New Roman" w:hAnsi="Times New Roman" w:cs="Times New Roman"/>
          <w:b/>
          <w:sz w:val="24"/>
          <w:szCs w:val="24"/>
        </w:rPr>
        <w:t xml:space="preserve">Background: </w:t>
      </w:r>
      <w:r>
        <w:rPr>
          <w:rFonts w:ascii="Times New Roman" w:hAnsi="Times New Roman" w:cs="Times New Roman"/>
          <w:sz w:val="24"/>
          <w:szCs w:val="24"/>
        </w:rPr>
        <w:t xml:space="preserve">Vancomycin has a wide pharmacokinetic variability with exposure-dependent nephrotoxicity </w:t>
      </w:r>
      <w:r>
        <w:rPr>
          <w:rFonts w:ascii="Times New Roman" w:hAnsi="Times New Roman" w:cs="Times New Roman"/>
          <w:color w:val="000000" w:themeColor="text1"/>
          <w:sz w:val="24"/>
          <w:szCs w:val="24"/>
        </w:rPr>
        <w:t xml:space="preserve">necessitating therapeutic drug monitoring. Pharmacist-driven vancomycin monitoring has shown to improve monitoring compliance of vancomycin levels and reduce the incidence of acute kidney injury. Since 2013, “Vancomycin Dosing per </w:t>
      </w:r>
      <w:r>
        <w:rPr>
          <w:rFonts w:ascii="Times New Roman" w:hAnsi="Times New Roman" w:cs="Times New Roman"/>
          <w:sz w:val="24"/>
          <w:szCs w:val="24"/>
        </w:rPr>
        <w:t xml:space="preserve">Pharmacy” has been an optional service at our institution. The goals of this service are to optimize dosing, decrease risk of nephrotoxicity, and prevent bacterial resistance. </w:t>
      </w:r>
      <w:r>
        <w:rPr>
          <w:rFonts w:ascii="Times New Roman" w:hAnsi="Times New Roman" w:cs="Times New Roman"/>
          <w:color w:val="000000" w:themeColor="text1"/>
          <w:sz w:val="24"/>
          <w:szCs w:val="24"/>
        </w:rPr>
        <w:t xml:space="preserve">The most recent update of our institution’s electronic medical record (EMR) included pharmacists’ ability to place medication orders on hold. </w:t>
      </w:r>
    </w:p>
    <w:p w14:paraId="637FD76A" w14:textId="77777777" w:rsidR="00077E56" w:rsidRDefault="00077E56" w:rsidP="00077E56">
      <w:pPr>
        <w:rPr>
          <w:rFonts w:ascii="Times New Roman" w:hAnsi="Times New Roman" w:cs="Times New Roman"/>
          <w:sz w:val="24"/>
          <w:szCs w:val="24"/>
        </w:rPr>
      </w:pPr>
      <w:r>
        <w:rPr>
          <w:rFonts w:ascii="Times New Roman" w:hAnsi="Times New Roman" w:cs="Times New Roman"/>
          <w:b/>
          <w:color w:val="000000" w:themeColor="text1"/>
          <w:sz w:val="24"/>
          <w:szCs w:val="24"/>
        </w:rPr>
        <w:t>Objective:</w:t>
      </w:r>
      <w:r>
        <w:rPr>
          <w:rFonts w:ascii="Times New Roman" w:hAnsi="Times New Roman" w:cs="Times New Roman"/>
          <w:color w:val="000000" w:themeColor="text1"/>
          <w:sz w:val="24"/>
          <w:szCs w:val="24"/>
        </w:rPr>
        <w:t xml:space="preserve"> The primary objective is to observe pharmacists’ workflow utilizing the current vancomycin protocol and incorporate an on-hold function into the ordering process. The secondary objective is to optimize </w:t>
      </w:r>
      <w:r>
        <w:rPr>
          <w:rFonts w:ascii="Times New Roman" w:hAnsi="Times New Roman" w:cs="Times New Roman"/>
          <w:sz w:val="24"/>
          <w:szCs w:val="24"/>
        </w:rPr>
        <w:t xml:space="preserve">the identification of patients with “Vancomycin Dosing per Pharmacy” orders using a standardized EMR list. </w:t>
      </w:r>
    </w:p>
    <w:p w14:paraId="3A77D998" w14:textId="77777777" w:rsidR="00077E56" w:rsidRDefault="00077E56" w:rsidP="00077E56">
      <w:pPr>
        <w:rPr>
          <w:rFonts w:ascii="Times New Roman" w:hAnsi="Times New Roman" w:cs="Times New Roman"/>
          <w:sz w:val="24"/>
          <w:szCs w:val="24"/>
        </w:rPr>
      </w:pPr>
      <w:r>
        <w:rPr>
          <w:rFonts w:ascii="Times New Roman" w:hAnsi="Times New Roman" w:cs="Times New Roman"/>
          <w:b/>
          <w:sz w:val="24"/>
          <w:szCs w:val="24"/>
        </w:rPr>
        <w:t>Methods:</w:t>
      </w:r>
      <w:r>
        <w:rPr>
          <w:rFonts w:ascii="Times New Roman" w:hAnsi="Times New Roman" w:cs="Times New Roman"/>
          <w:sz w:val="24"/>
          <w:szCs w:val="24"/>
        </w:rPr>
        <w:t xml:space="preserve"> This is a single center, retrospective chart review. Pharmacists responsible for “Vancomycin Dosing per Pharmacy” orders will trial a different process to identify patients, evaluate and adjust vancomycin dosing. These pharmacists will be in-serviced on the on-hold function and how to utilize the standardized EMR list. Data to be collected will include the number of patients who were administered vancomycin dosed by pharmacy, the clinical indication, the number of times the vancomycin order required adjustment one month before and after the process changes. The time spent adjusting and evaluating orders, prevalence of nephrotoxicity, the number of appropriately drawn levels (peak and trough) and patients achieving therapeutic goals (trough or AUC) will also be collected</w:t>
      </w:r>
    </w:p>
    <w:p w14:paraId="22E37F20" w14:textId="77777777" w:rsidR="00077E56" w:rsidRDefault="00077E56" w:rsidP="00077E56">
      <w:pPr>
        <w:rPr>
          <w:rFonts w:ascii="Times New Roman" w:hAnsi="Times New Roman" w:cs="Times New Roman"/>
          <w:sz w:val="24"/>
          <w:szCs w:val="24"/>
        </w:rPr>
      </w:pPr>
    </w:p>
    <w:p w14:paraId="0C90BF7A" w14:textId="77777777" w:rsidR="00077E56" w:rsidRDefault="00077E56" w:rsidP="00077E56">
      <w:pPr>
        <w:rPr>
          <w:rFonts w:ascii="Times New Roman" w:hAnsi="Times New Roman" w:cs="Times New Roman"/>
          <w:sz w:val="24"/>
          <w:szCs w:val="24"/>
        </w:rPr>
      </w:pPr>
      <w:r>
        <w:rPr>
          <w:rFonts w:ascii="Times New Roman" w:hAnsi="Times New Roman" w:cs="Times New Roman"/>
          <w:b/>
          <w:sz w:val="24"/>
          <w:szCs w:val="24"/>
        </w:rPr>
        <w:t>Results:</w:t>
      </w:r>
      <w:r>
        <w:rPr>
          <w:rFonts w:ascii="Times New Roman" w:hAnsi="Times New Roman" w:cs="Times New Roman"/>
          <w:sz w:val="24"/>
          <w:szCs w:val="24"/>
        </w:rPr>
        <w:t xml:space="preserve"> In progress.</w:t>
      </w:r>
    </w:p>
    <w:p w14:paraId="280E5E6C" w14:textId="77777777" w:rsidR="00077E56" w:rsidRDefault="00077E56" w:rsidP="00077E56">
      <w:pPr>
        <w:rPr>
          <w:rFonts w:ascii="Times New Roman" w:hAnsi="Times New Roman" w:cs="Times New Roman"/>
          <w:sz w:val="24"/>
          <w:szCs w:val="24"/>
        </w:rPr>
      </w:pPr>
    </w:p>
    <w:p w14:paraId="4A492A6D" w14:textId="77777777" w:rsidR="00077E56" w:rsidRDefault="00077E56" w:rsidP="00077E56">
      <w:pPr>
        <w:rPr>
          <w:rFonts w:ascii="Times New Roman" w:hAnsi="Times New Roman" w:cs="Times New Roman"/>
          <w:sz w:val="24"/>
          <w:szCs w:val="24"/>
        </w:rPr>
      </w:pPr>
      <w:r>
        <w:rPr>
          <w:rFonts w:ascii="Times New Roman" w:hAnsi="Times New Roman" w:cs="Times New Roman"/>
          <w:b/>
          <w:sz w:val="24"/>
          <w:szCs w:val="24"/>
        </w:rPr>
        <w:t>Conclusion:</w:t>
      </w:r>
      <w:r>
        <w:rPr>
          <w:rFonts w:ascii="Times New Roman" w:hAnsi="Times New Roman" w:cs="Times New Roman"/>
          <w:sz w:val="24"/>
          <w:szCs w:val="24"/>
        </w:rPr>
        <w:t xml:space="preserve"> In progress.</w:t>
      </w:r>
    </w:p>
    <w:p w14:paraId="658A772F" w14:textId="73ED8597" w:rsidR="00077E56" w:rsidRDefault="00077E56" w:rsidP="0007657F"/>
    <w:p w14:paraId="7A2AE491" w14:textId="5A8F9279" w:rsidR="00077E56" w:rsidRDefault="00077E56" w:rsidP="0007657F"/>
    <w:p w14:paraId="50F31947" w14:textId="191D9329" w:rsidR="00077E56" w:rsidRDefault="00077E56" w:rsidP="0007657F"/>
    <w:p w14:paraId="1EA3419F" w14:textId="78192D4D" w:rsidR="00077E56" w:rsidRDefault="00077E56" w:rsidP="0007657F"/>
    <w:p w14:paraId="78EBDA2E" w14:textId="0B1E169E" w:rsidR="00077E56" w:rsidRDefault="00077E56" w:rsidP="0007657F"/>
    <w:p w14:paraId="1C566146" w14:textId="38DE84E9" w:rsidR="00077E56" w:rsidRDefault="00077E56" w:rsidP="0007657F"/>
    <w:p w14:paraId="231ECF62" w14:textId="7006A775" w:rsidR="00077E56" w:rsidRDefault="00077E56" w:rsidP="0007657F"/>
    <w:p w14:paraId="3E847E07" w14:textId="77777777" w:rsidR="00077E56" w:rsidRPr="00077E56" w:rsidRDefault="00077E56" w:rsidP="00077E56">
      <w:pPr>
        <w:rPr>
          <w:rFonts w:ascii="Times New Roman" w:hAnsi="Times New Roman" w:cs="Times New Roman"/>
        </w:rPr>
      </w:pPr>
      <w:r w:rsidRPr="00077E56">
        <w:rPr>
          <w:rFonts w:ascii="Times New Roman" w:hAnsi="Times New Roman" w:cs="Times New Roman"/>
        </w:rPr>
        <w:lastRenderedPageBreak/>
        <w:t xml:space="preserve">OUTPATIENT THROMBOPROPHYLAXIS IN MALIGNANCY: A RETROSPECTIVE REVIEW </w:t>
      </w:r>
    </w:p>
    <w:p w14:paraId="7BE3B2E6" w14:textId="77777777" w:rsidR="00077E56" w:rsidRPr="00077E56" w:rsidRDefault="00077E56" w:rsidP="00077E56">
      <w:pPr>
        <w:rPr>
          <w:rFonts w:ascii="Times New Roman" w:hAnsi="Times New Roman" w:cs="Times New Roman"/>
          <w:u w:val="single"/>
        </w:rPr>
      </w:pPr>
    </w:p>
    <w:p w14:paraId="69531205" w14:textId="77777777" w:rsidR="00077E56" w:rsidRPr="00077E56" w:rsidRDefault="00077E56" w:rsidP="00077E56">
      <w:pPr>
        <w:rPr>
          <w:rFonts w:ascii="Times New Roman" w:hAnsi="Times New Roman" w:cs="Times New Roman"/>
        </w:rPr>
      </w:pPr>
      <w:r w:rsidRPr="00077E56">
        <w:rPr>
          <w:rFonts w:ascii="Times New Roman" w:hAnsi="Times New Roman" w:cs="Times New Roman"/>
          <w:u w:val="single"/>
        </w:rPr>
        <w:t>Laguna A</w:t>
      </w:r>
      <w:r w:rsidRPr="00077E56">
        <w:rPr>
          <w:rFonts w:ascii="Times New Roman" w:hAnsi="Times New Roman" w:cs="Times New Roman"/>
        </w:rPr>
        <w:t xml:space="preserve">*, </w:t>
      </w:r>
      <w:r w:rsidRPr="00077E56">
        <w:rPr>
          <w:rFonts w:ascii="Times New Roman" w:hAnsi="Times New Roman" w:cs="Times New Roman"/>
          <w:u w:val="single"/>
        </w:rPr>
        <w:t>Maroulis J</w:t>
      </w:r>
    </w:p>
    <w:p w14:paraId="32E73C62" w14:textId="77777777" w:rsidR="00077E56" w:rsidRPr="00077E56" w:rsidRDefault="00077E56" w:rsidP="00077E56">
      <w:pPr>
        <w:rPr>
          <w:rFonts w:ascii="Times New Roman" w:hAnsi="Times New Roman" w:cs="Times New Roman"/>
        </w:rPr>
      </w:pPr>
    </w:p>
    <w:p w14:paraId="6C044B06" w14:textId="77777777" w:rsidR="00077E56" w:rsidRPr="00077E56" w:rsidRDefault="00077E56" w:rsidP="00077E56">
      <w:pPr>
        <w:rPr>
          <w:rFonts w:ascii="Times New Roman" w:hAnsi="Times New Roman" w:cs="Times New Roman"/>
        </w:rPr>
      </w:pPr>
      <w:r w:rsidRPr="00077E56">
        <w:rPr>
          <w:rFonts w:ascii="Times New Roman" w:hAnsi="Times New Roman" w:cs="Times New Roman"/>
        </w:rPr>
        <w:t>Lenox Hill Hospital, 100 E 77</w:t>
      </w:r>
      <w:r w:rsidRPr="00077E56">
        <w:rPr>
          <w:rFonts w:ascii="Times New Roman" w:hAnsi="Times New Roman" w:cs="Times New Roman"/>
          <w:vertAlign w:val="superscript"/>
        </w:rPr>
        <w:t>th</w:t>
      </w:r>
      <w:r w:rsidRPr="00077E56">
        <w:rPr>
          <w:rFonts w:ascii="Times New Roman" w:hAnsi="Times New Roman" w:cs="Times New Roman"/>
        </w:rPr>
        <w:t xml:space="preserve"> Street, New York, NY 10075</w:t>
      </w:r>
    </w:p>
    <w:p w14:paraId="7BBF13B2" w14:textId="77777777" w:rsidR="00077E56" w:rsidRPr="00077E56" w:rsidRDefault="00077E56" w:rsidP="00077E56">
      <w:pPr>
        <w:rPr>
          <w:rFonts w:ascii="Times New Roman" w:hAnsi="Times New Roman" w:cs="Times New Roman"/>
        </w:rPr>
      </w:pPr>
    </w:p>
    <w:p w14:paraId="6C6390DE" w14:textId="77777777" w:rsidR="00077E56" w:rsidRPr="00077E56" w:rsidRDefault="00077E56" w:rsidP="00077E56">
      <w:pPr>
        <w:rPr>
          <w:rFonts w:ascii="Times New Roman" w:eastAsia="Times New Roman" w:hAnsi="Times New Roman" w:cs="Times New Roman"/>
        </w:rPr>
      </w:pPr>
      <w:r w:rsidRPr="00077E56">
        <w:rPr>
          <w:rFonts w:ascii="Times New Roman" w:hAnsi="Times New Roman" w:cs="Times New Roman"/>
          <w:b/>
          <w:bCs/>
        </w:rPr>
        <w:t xml:space="preserve">Background: </w:t>
      </w:r>
      <w:r w:rsidRPr="00077E56">
        <w:rPr>
          <w:rFonts w:ascii="Times New Roman" w:eastAsia="Times New Roman" w:hAnsi="Times New Roman" w:cs="Times New Roman"/>
          <w:color w:val="000000"/>
          <w:shd w:val="clear" w:color="auto" w:fill="FFFFFF"/>
        </w:rPr>
        <w:t>Venous thromboembolism (VTE) is a major cause of morbidity and mortality in patients with cancer. Primary thromboprophylaxis is not routinely recommended in this population. Low-molecular-weight heparin (LMWH) has been standard of care for treatment of cancer-associated VTE. Direct oral anticoagulants (DOACs) are emerging new therapeutic options for both the treatment and prevention of cancer-associated VTE and are recommended in the 2020 National Comprehensive Cancer Network and 2019 American Society for Clinical Oncology guidelines.</w:t>
      </w:r>
    </w:p>
    <w:p w14:paraId="42B98292" w14:textId="77777777" w:rsidR="00077E56" w:rsidRPr="00077E56" w:rsidRDefault="00077E56" w:rsidP="00077E56">
      <w:pPr>
        <w:rPr>
          <w:rFonts w:ascii="Times New Roman" w:hAnsi="Times New Roman" w:cs="Times New Roman"/>
        </w:rPr>
      </w:pPr>
    </w:p>
    <w:p w14:paraId="61D2E07F" w14:textId="77777777" w:rsidR="00077E56" w:rsidRPr="00077E56" w:rsidRDefault="00077E56" w:rsidP="00077E56">
      <w:pPr>
        <w:rPr>
          <w:rFonts w:ascii="Times New Roman" w:hAnsi="Times New Roman" w:cs="Times New Roman"/>
        </w:rPr>
      </w:pPr>
      <w:r w:rsidRPr="00077E56">
        <w:rPr>
          <w:rFonts w:ascii="Times New Roman" w:hAnsi="Times New Roman" w:cs="Times New Roman"/>
          <w:b/>
          <w:bCs/>
        </w:rPr>
        <w:t xml:space="preserve">Objective: </w:t>
      </w:r>
      <w:r w:rsidRPr="00077E56">
        <w:rPr>
          <w:rFonts w:ascii="Times New Roman" w:hAnsi="Times New Roman" w:cs="Times New Roman"/>
        </w:rPr>
        <w:t>To identify patients with cancer who are candidates for outpatient thromboprophylaxis and provide recommendations. To develop a protocol to guide thromboprophylaxis prescribing of DOACs and LMWH for patients with cancer based on patient-specific factors.</w:t>
      </w:r>
    </w:p>
    <w:p w14:paraId="71FB5096" w14:textId="77777777" w:rsidR="00077E56" w:rsidRPr="00077E56" w:rsidRDefault="00077E56" w:rsidP="00077E56">
      <w:pPr>
        <w:rPr>
          <w:rFonts w:ascii="Times New Roman" w:hAnsi="Times New Roman" w:cs="Times New Roman"/>
          <w:b/>
          <w:bCs/>
        </w:rPr>
      </w:pPr>
    </w:p>
    <w:p w14:paraId="514F6C46" w14:textId="77777777" w:rsidR="00077E56" w:rsidRPr="00077E56" w:rsidRDefault="00077E56" w:rsidP="00077E56">
      <w:pPr>
        <w:rPr>
          <w:rFonts w:ascii="Times New Roman" w:hAnsi="Times New Roman" w:cs="Times New Roman"/>
        </w:rPr>
      </w:pPr>
      <w:r w:rsidRPr="00077E56">
        <w:rPr>
          <w:rFonts w:ascii="Times New Roman" w:hAnsi="Times New Roman" w:cs="Times New Roman"/>
          <w:b/>
          <w:bCs/>
        </w:rPr>
        <w:t xml:space="preserve">Methods: </w:t>
      </w:r>
      <w:r w:rsidRPr="00077E56">
        <w:rPr>
          <w:rFonts w:ascii="Times New Roman" w:hAnsi="Times New Roman" w:cs="Times New Roman"/>
        </w:rPr>
        <w:t>Retrospective, single-center chart review of patients with cancer initiating chemotherapy who are potential candidates for outpatient thromboprophylaxis. The Khorana Risk Score was used to identify patients at low, intermediate, or high risk for cancer-associated VTE within 2.5 months of initiating chemotherapy. Thromboprophylaxis recommendations were provided for patients based on additional patient-specific factors, including bleeding risk, history of anticoagulation or thromboprophylaxis, and patient preference.</w:t>
      </w:r>
    </w:p>
    <w:p w14:paraId="6EF994EA" w14:textId="77777777" w:rsidR="00077E56" w:rsidRPr="00077E56" w:rsidRDefault="00077E56" w:rsidP="00077E56">
      <w:pPr>
        <w:rPr>
          <w:rFonts w:ascii="Times New Roman" w:hAnsi="Times New Roman" w:cs="Times New Roman"/>
          <w:b/>
          <w:bCs/>
        </w:rPr>
      </w:pPr>
    </w:p>
    <w:p w14:paraId="77D2CCE4" w14:textId="77777777" w:rsidR="00077E56" w:rsidRPr="00077E56" w:rsidRDefault="00077E56" w:rsidP="00077E56">
      <w:pPr>
        <w:rPr>
          <w:rFonts w:ascii="Times New Roman" w:hAnsi="Times New Roman" w:cs="Times New Roman"/>
        </w:rPr>
      </w:pPr>
      <w:r w:rsidRPr="00077E56">
        <w:rPr>
          <w:rFonts w:ascii="Times New Roman" w:hAnsi="Times New Roman" w:cs="Times New Roman"/>
          <w:b/>
          <w:bCs/>
        </w:rPr>
        <w:t xml:space="preserve">Results: </w:t>
      </w:r>
      <w:r w:rsidRPr="00077E56">
        <w:rPr>
          <w:rFonts w:ascii="Times New Roman" w:hAnsi="Times New Roman" w:cs="Times New Roman"/>
        </w:rPr>
        <w:t>In progress</w:t>
      </w:r>
    </w:p>
    <w:p w14:paraId="6D0B38A4" w14:textId="77777777" w:rsidR="00077E56" w:rsidRPr="00077E56" w:rsidRDefault="00077E56" w:rsidP="00077E56">
      <w:pPr>
        <w:rPr>
          <w:rFonts w:ascii="Times New Roman" w:hAnsi="Times New Roman" w:cs="Times New Roman"/>
          <w:b/>
          <w:bCs/>
        </w:rPr>
      </w:pPr>
    </w:p>
    <w:p w14:paraId="6288E87B" w14:textId="77777777" w:rsidR="00077E56" w:rsidRPr="00077E56" w:rsidRDefault="00077E56" w:rsidP="00077E56">
      <w:pPr>
        <w:rPr>
          <w:rFonts w:ascii="Times New Roman" w:hAnsi="Times New Roman" w:cs="Times New Roman"/>
        </w:rPr>
      </w:pPr>
      <w:r w:rsidRPr="00077E56">
        <w:rPr>
          <w:rFonts w:ascii="Times New Roman" w:hAnsi="Times New Roman" w:cs="Times New Roman"/>
          <w:b/>
          <w:bCs/>
        </w:rPr>
        <w:t xml:space="preserve">Conclusions: </w:t>
      </w:r>
      <w:r w:rsidRPr="00077E56">
        <w:rPr>
          <w:rFonts w:ascii="Times New Roman" w:hAnsi="Times New Roman" w:cs="Times New Roman"/>
        </w:rPr>
        <w:t>In progress</w:t>
      </w:r>
    </w:p>
    <w:p w14:paraId="4A5330EF" w14:textId="394BAF18" w:rsidR="00077E56" w:rsidRDefault="00077E56" w:rsidP="0007657F"/>
    <w:p w14:paraId="27890197" w14:textId="4E0EB77A" w:rsidR="00077E56" w:rsidRDefault="00077E56" w:rsidP="0007657F"/>
    <w:p w14:paraId="25A190F3" w14:textId="424274A6" w:rsidR="00077E56" w:rsidRDefault="00077E56" w:rsidP="0007657F"/>
    <w:p w14:paraId="0A81CAE4" w14:textId="3051445A" w:rsidR="00077E56" w:rsidRDefault="00077E56" w:rsidP="0007657F"/>
    <w:p w14:paraId="38B7FB06" w14:textId="0525F637" w:rsidR="00077E56" w:rsidRDefault="00077E56" w:rsidP="0007657F"/>
    <w:p w14:paraId="1C635813" w14:textId="2A369E4E" w:rsidR="00077E56" w:rsidRDefault="00077E56" w:rsidP="0007657F"/>
    <w:p w14:paraId="0C63E22B" w14:textId="6EE83833" w:rsidR="00077E56" w:rsidRDefault="00077E56" w:rsidP="0007657F"/>
    <w:p w14:paraId="1A896145" w14:textId="77777777" w:rsidR="00077E56" w:rsidRPr="00077E56" w:rsidRDefault="00077E56" w:rsidP="00077E56">
      <w:pPr>
        <w:spacing w:line="240" w:lineRule="auto"/>
        <w:rPr>
          <w:rFonts w:ascii="Times New Roman" w:eastAsia="Calibri" w:hAnsi="Times New Roman" w:cs="Times New Roman"/>
        </w:rPr>
      </w:pPr>
      <w:r w:rsidRPr="00077E56">
        <w:rPr>
          <w:rFonts w:ascii="Times New Roman" w:eastAsia="Calibri" w:hAnsi="Times New Roman" w:cs="Times New Roman"/>
        </w:rPr>
        <w:lastRenderedPageBreak/>
        <w:t>D-DIMER LEVELS AND ANTICOAGULANTS IN COVID-19 PATIENTS</w:t>
      </w:r>
    </w:p>
    <w:p w14:paraId="236546A5" w14:textId="77777777" w:rsidR="00077E56" w:rsidRPr="00077E56" w:rsidRDefault="00077E56" w:rsidP="00077E56">
      <w:pPr>
        <w:spacing w:line="240" w:lineRule="auto"/>
        <w:rPr>
          <w:rFonts w:ascii="Times New Roman" w:eastAsia="Calibri" w:hAnsi="Times New Roman" w:cs="Times New Roman"/>
        </w:rPr>
      </w:pPr>
      <w:r w:rsidRPr="00077E56">
        <w:rPr>
          <w:rFonts w:ascii="Times New Roman" w:eastAsia="Calibri" w:hAnsi="Times New Roman" w:cs="Times New Roman"/>
          <w:u w:val="single"/>
        </w:rPr>
        <w:t>Lee R*</w:t>
      </w:r>
      <w:r w:rsidRPr="00077E56">
        <w:rPr>
          <w:rFonts w:ascii="Times New Roman" w:eastAsia="Calibri" w:hAnsi="Times New Roman" w:cs="Times New Roman"/>
        </w:rPr>
        <w:t xml:space="preserve">, </w:t>
      </w:r>
      <w:r w:rsidRPr="00077E56">
        <w:rPr>
          <w:rFonts w:ascii="Times New Roman" w:eastAsia="Calibri" w:hAnsi="Times New Roman" w:cs="Times New Roman"/>
          <w:u w:val="single"/>
        </w:rPr>
        <w:t>Wang S</w:t>
      </w:r>
      <w:r w:rsidRPr="00077E56">
        <w:rPr>
          <w:rFonts w:ascii="Times New Roman" w:eastAsia="Calibri" w:hAnsi="Times New Roman" w:cs="Times New Roman"/>
        </w:rPr>
        <w:t xml:space="preserve">, </w:t>
      </w:r>
      <w:r w:rsidRPr="00077E56">
        <w:rPr>
          <w:rFonts w:ascii="Times New Roman" w:eastAsia="Calibri" w:hAnsi="Times New Roman" w:cs="Times New Roman"/>
          <w:u w:val="single"/>
        </w:rPr>
        <w:t>Hanna A</w:t>
      </w:r>
      <w:r w:rsidRPr="00077E56">
        <w:rPr>
          <w:rFonts w:ascii="Times New Roman" w:eastAsia="Calibri" w:hAnsi="Times New Roman" w:cs="Times New Roman"/>
        </w:rPr>
        <w:t xml:space="preserve">, </w:t>
      </w:r>
      <w:r w:rsidRPr="00077E56">
        <w:rPr>
          <w:rFonts w:ascii="Times New Roman" w:eastAsia="Calibri" w:hAnsi="Times New Roman" w:cs="Times New Roman"/>
          <w:u w:val="single"/>
        </w:rPr>
        <w:t>Malone B</w:t>
      </w:r>
      <w:r w:rsidRPr="00077E56">
        <w:rPr>
          <w:rFonts w:ascii="Times New Roman" w:eastAsia="Calibri" w:hAnsi="Times New Roman" w:cs="Times New Roman"/>
        </w:rPr>
        <w:t xml:space="preserve">, </w:t>
      </w:r>
      <w:r w:rsidRPr="00077E56">
        <w:rPr>
          <w:rFonts w:ascii="Times New Roman" w:eastAsia="Calibri" w:hAnsi="Times New Roman" w:cs="Times New Roman"/>
          <w:u w:val="single"/>
        </w:rPr>
        <w:t>Akerman M</w:t>
      </w:r>
      <w:r w:rsidRPr="00077E56">
        <w:rPr>
          <w:rFonts w:ascii="Times New Roman" w:eastAsia="Calibri" w:hAnsi="Times New Roman" w:cs="Times New Roman"/>
        </w:rPr>
        <w:t xml:space="preserve">, </w:t>
      </w:r>
      <w:r w:rsidRPr="00077E56">
        <w:rPr>
          <w:rFonts w:ascii="Times New Roman" w:eastAsia="Calibri" w:hAnsi="Times New Roman" w:cs="Times New Roman"/>
          <w:u w:val="single"/>
        </w:rPr>
        <w:t>Joseph D</w:t>
      </w:r>
      <w:r w:rsidRPr="00077E56">
        <w:rPr>
          <w:rFonts w:ascii="Times New Roman" w:eastAsia="Calibri" w:hAnsi="Times New Roman" w:cs="Times New Roman"/>
        </w:rPr>
        <w:t xml:space="preserve"> </w:t>
      </w:r>
    </w:p>
    <w:p w14:paraId="7F53F2B7" w14:textId="77777777" w:rsidR="00077E56" w:rsidRPr="00077E56" w:rsidRDefault="00077E56" w:rsidP="00077E56">
      <w:pPr>
        <w:spacing w:line="240" w:lineRule="auto"/>
        <w:rPr>
          <w:rFonts w:ascii="Times New Roman" w:eastAsia="Calibri" w:hAnsi="Times New Roman" w:cs="Times New Roman"/>
        </w:rPr>
      </w:pPr>
      <w:r w:rsidRPr="00077E56">
        <w:rPr>
          <w:rFonts w:ascii="Times New Roman" w:eastAsia="Calibri" w:hAnsi="Times New Roman" w:cs="Times New Roman"/>
        </w:rPr>
        <w:t xml:space="preserve">NYU Langone Hospital—Long Island, 259 First St, Mineola, NY 11501 </w:t>
      </w:r>
    </w:p>
    <w:p w14:paraId="52936152" w14:textId="77777777" w:rsidR="00077E56" w:rsidRPr="00077E56" w:rsidRDefault="00077E56" w:rsidP="00077E56">
      <w:pPr>
        <w:spacing w:line="240" w:lineRule="auto"/>
        <w:rPr>
          <w:rFonts w:ascii="Times New Roman" w:eastAsia="Calibri" w:hAnsi="Times New Roman" w:cs="Times New Roman"/>
        </w:rPr>
      </w:pPr>
    </w:p>
    <w:p w14:paraId="7B0976F4" w14:textId="77777777" w:rsidR="00077E56" w:rsidRPr="00077E56" w:rsidRDefault="00077E56" w:rsidP="00077E56">
      <w:pPr>
        <w:spacing w:line="240" w:lineRule="auto"/>
        <w:rPr>
          <w:rFonts w:ascii="Times New Roman" w:eastAsia="Times New Roman" w:hAnsi="Times New Roman" w:cs="Times New Roman"/>
          <w:lang w:eastAsia="ko-KR"/>
        </w:rPr>
      </w:pPr>
      <w:r w:rsidRPr="00077E56">
        <w:rPr>
          <w:rFonts w:ascii="Times New Roman" w:eastAsia="Calibri" w:hAnsi="Times New Roman" w:cs="Times New Roman"/>
          <w:b/>
          <w:bCs/>
        </w:rPr>
        <w:t>Background</w:t>
      </w:r>
      <w:r w:rsidRPr="00077E56">
        <w:rPr>
          <w:rFonts w:ascii="Times New Roman" w:eastAsia="Calibri" w:hAnsi="Times New Roman" w:cs="Times New Roman"/>
        </w:rPr>
        <w:t xml:space="preserve">: </w:t>
      </w:r>
      <w:r w:rsidRPr="00077E56">
        <w:rPr>
          <w:rFonts w:ascii="Times New Roman" w:eastAsia="Times New Roman" w:hAnsi="Times New Roman" w:cs="Times New Roman"/>
          <w:color w:val="000000"/>
          <w:bdr w:val="none" w:sz="0" w:space="0" w:color="auto" w:frame="1"/>
          <w:lang w:eastAsia="ko-KR"/>
        </w:rPr>
        <w:t>COVID19 causes coagulopathy as multiple systemic coagulation and inflammatory responses are activated during infectious complications. Interim guidelines recommend prophylactic anticoagulants to manage coagulopathy.</w:t>
      </w:r>
    </w:p>
    <w:p w14:paraId="35256B9F" w14:textId="77777777" w:rsidR="00077E56" w:rsidRPr="00077E56" w:rsidRDefault="00077E56" w:rsidP="00077E56">
      <w:pPr>
        <w:spacing w:line="240" w:lineRule="auto"/>
        <w:rPr>
          <w:rFonts w:ascii="Times New Roman" w:eastAsia="Times New Roman" w:hAnsi="Times New Roman" w:cs="Times New Roman"/>
          <w:lang w:eastAsia="ko-KR"/>
        </w:rPr>
      </w:pPr>
      <w:r w:rsidRPr="00077E56">
        <w:rPr>
          <w:rFonts w:ascii="Times New Roman" w:eastAsia="Calibri" w:hAnsi="Times New Roman" w:cs="Times New Roman"/>
          <w:b/>
          <w:bCs/>
        </w:rPr>
        <w:t>Objective</w:t>
      </w:r>
      <w:r w:rsidRPr="00077E56">
        <w:rPr>
          <w:rFonts w:ascii="Times New Roman" w:eastAsia="Calibri" w:hAnsi="Times New Roman" w:cs="Times New Roman"/>
        </w:rPr>
        <w:t xml:space="preserve">: </w:t>
      </w:r>
      <w:r w:rsidRPr="00077E56">
        <w:rPr>
          <w:rFonts w:ascii="Times New Roman" w:eastAsia="Times New Roman" w:hAnsi="Times New Roman" w:cs="Times New Roman"/>
          <w:color w:val="000000"/>
          <w:shd w:val="clear" w:color="auto" w:fill="FFFFFF"/>
          <w:lang w:eastAsia="ko-KR"/>
        </w:rPr>
        <w:t>To analyze the anticoagulants used as well as D-dimer levels in COVID19 patients and their outcomes in order to help improve patient care in the future</w:t>
      </w:r>
    </w:p>
    <w:p w14:paraId="779E8BB3" w14:textId="77777777" w:rsidR="00077E56" w:rsidRPr="00077E56" w:rsidRDefault="00077E56" w:rsidP="00077E56">
      <w:pPr>
        <w:spacing w:line="240" w:lineRule="auto"/>
        <w:rPr>
          <w:rFonts w:ascii="Times New Roman" w:eastAsia="Times New Roman" w:hAnsi="Times New Roman" w:cs="Times New Roman"/>
          <w:lang w:eastAsia="ko-KR"/>
        </w:rPr>
      </w:pPr>
      <w:r w:rsidRPr="00077E56">
        <w:rPr>
          <w:rFonts w:ascii="Times New Roman" w:eastAsia="Calibri" w:hAnsi="Times New Roman" w:cs="Times New Roman"/>
          <w:b/>
          <w:bCs/>
        </w:rPr>
        <w:t>Methods</w:t>
      </w:r>
      <w:r w:rsidRPr="00077E56">
        <w:rPr>
          <w:rFonts w:ascii="Times New Roman" w:eastAsia="Calibri" w:hAnsi="Times New Roman" w:cs="Times New Roman"/>
        </w:rPr>
        <w:t xml:space="preserve">: </w:t>
      </w:r>
      <w:r w:rsidRPr="00077E56">
        <w:rPr>
          <w:rFonts w:ascii="Times New Roman" w:eastAsia="Times New Roman" w:hAnsi="Times New Roman" w:cs="Times New Roman"/>
          <w:color w:val="000000"/>
          <w:shd w:val="clear" w:color="auto" w:fill="FFFFFF"/>
          <w:lang w:eastAsia="ko-KR"/>
        </w:rPr>
        <w:t xml:space="preserve">Electronic medical record (EPIC) was used to conduct a retrospective analysis of the use of anticoagulants in COVID19 patients from April 1,2020 – June 30,2020. </w:t>
      </w:r>
    </w:p>
    <w:p w14:paraId="1862432C" w14:textId="77777777" w:rsidR="00077E56" w:rsidRPr="00077E56" w:rsidRDefault="00077E56" w:rsidP="00077E56">
      <w:pPr>
        <w:spacing w:line="240" w:lineRule="auto"/>
        <w:rPr>
          <w:rFonts w:ascii="Times New Roman" w:eastAsia="Times New Roman" w:hAnsi="Times New Roman" w:cs="Times New Roman"/>
          <w:lang w:eastAsia="ko-KR"/>
        </w:rPr>
      </w:pPr>
      <w:r w:rsidRPr="00077E56">
        <w:rPr>
          <w:rFonts w:ascii="Times New Roman" w:eastAsia="Calibri" w:hAnsi="Times New Roman" w:cs="Times New Roman"/>
          <w:b/>
          <w:bCs/>
        </w:rPr>
        <w:t>Results</w:t>
      </w:r>
      <w:r w:rsidRPr="00077E56">
        <w:rPr>
          <w:rFonts w:ascii="Times New Roman" w:eastAsia="Calibri" w:hAnsi="Times New Roman" w:cs="Times New Roman"/>
        </w:rPr>
        <w:t xml:space="preserve">: </w:t>
      </w:r>
      <w:r w:rsidRPr="00077E56">
        <w:rPr>
          <w:rFonts w:ascii="Times New Roman" w:eastAsia="Times New Roman" w:hAnsi="Times New Roman" w:cs="Times New Roman"/>
          <w:color w:val="000000"/>
          <w:shd w:val="clear" w:color="auto" w:fill="FFFFFF"/>
          <w:lang w:eastAsia="ko-KR"/>
        </w:rPr>
        <w:t>Two hundred adult patients were included in our study. Mortality rate was significantly higher in the ICU group as compared to the non-ICU group (60% vs 7.3%, respectively, p&lt;0.0001). Of the 33 patients who died, 21 (63.64%) patients were initially on anticoagulation for DVT prophylaxis, 2 (6.06%) were not given anticoagulants, and 10 (30.3%) were started on therapeutic anticoagulation, although not statistically significant (p&lt;0.2695). Peak D-dimer levels were significantly under the ROC curve demonstrated</w:t>
      </w:r>
      <w:r w:rsidRPr="00077E56">
        <w:rPr>
          <w:rFonts w:ascii="Times New Roman" w:eastAsia="Times New Roman" w:hAnsi="Times New Roman" w:cs="Times New Roman"/>
          <w:color w:val="881798"/>
          <w:u w:val="single"/>
          <w:shd w:val="clear" w:color="auto" w:fill="FFFFFF"/>
          <w:lang w:eastAsia="ko-KR"/>
        </w:rPr>
        <w:t>.</w:t>
      </w:r>
      <w:r w:rsidRPr="00077E56">
        <w:rPr>
          <w:rFonts w:ascii="Times New Roman" w:eastAsia="Times New Roman" w:hAnsi="Times New Roman" w:cs="Times New Roman"/>
          <w:color w:val="000000"/>
          <w:shd w:val="clear" w:color="auto" w:fill="FFFFFF"/>
          <w:lang w:eastAsia="ko-KR"/>
        </w:rPr>
        <w:t> Peak D-dimer levels had moderate discriminative power to predict higher in patients who died as compared to those who survived (3003 vs. 552.5 respectively, p&lt;0.0001). Univariate logistic regression showed that peak D-dimer was a significant predictor of mortality (p&lt;0.0012), and the corresponding area mortality (AUC=0.821). The optimal cutoff point in peak D-dimer for predicting mortality was 1079, with 83.9% sensitivity and 69.5% specificity.  </w:t>
      </w:r>
    </w:p>
    <w:p w14:paraId="0CB7AD41" w14:textId="77777777" w:rsidR="00077E56" w:rsidRPr="00077E56" w:rsidRDefault="00077E56" w:rsidP="00077E56">
      <w:pPr>
        <w:spacing w:line="240" w:lineRule="auto"/>
        <w:rPr>
          <w:rFonts w:ascii="Times New Roman" w:eastAsia="Times New Roman" w:hAnsi="Times New Roman" w:cs="Times New Roman"/>
          <w:lang w:eastAsia="ko-KR"/>
        </w:rPr>
      </w:pPr>
      <w:r w:rsidRPr="00077E56">
        <w:rPr>
          <w:rFonts w:ascii="Times New Roman" w:eastAsia="Calibri" w:hAnsi="Times New Roman" w:cs="Times New Roman"/>
          <w:b/>
          <w:bCs/>
        </w:rPr>
        <w:t>Conclusions</w:t>
      </w:r>
      <w:r w:rsidRPr="00077E56">
        <w:rPr>
          <w:rFonts w:ascii="Times New Roman" w:eastAsia="Calibri" w:hAnsi="Times New Roman" w:cs="Times New Roman"/>
        </w:rPr>
        <w:t>:</w:t>
      </w:r>
      <w:r w:rsidRPr="00077E56">
        <w:rPr>
          <w:rStyle w:val="normaltextrun"/>
          <w:rFonts w:ascii="Times New Roman" w:hAnsi="Times New Roman" w:cs="Times New Roman"/>
          <w:color w:val="000000"/>
          <w:shd w:val="clear" w:color="auto" w:fill="FFFFFF"/>
        </w:rPr>
        <w:t xml:space="preserve"> </w:t>
      </w:r>
      <w:r w:rsidRPr="00077E56">
        <w:rPr>
          <w:rFonts w:ascii="Times New Roman" w:eastAsia="Times New Roman" w:hAnsi="Times New Roman" w:cs="Times New Roman"/>
          <w:color w:val="000000"/>
          <w:shd w:val="clear" w:color="auto" w:fill="FFFFFF"/>
          <w:lang w:eastAsia="ko-KR"/>
        </w:rPr>
        <w:t>Peak D-dimer levels were significantly higher in patients who died compared to those who survived.  These findings may aid in identifying individuals who are at a higher risk of mortality.    </w:t>
      </w:r>
    </w:p>
    <w:p w14:paraId="7D7E47EA" w14:textId="77777777" w:rsidR="00077E56" w:rsidRPr="00077E56" w:rsidRDefault="00077E56" w:rsidP="00077E56">
      <w:pPr>
        <w:spacing w:line="240" w:lineRule="auto"/>
        <w:rPr>
          <w:rFonts w:ascii="Times New Roman" w:eastAsia="Calibri" w:hAnsi="Times New Roman" w:cs="Times New Roman"/>
        </w:rPr>
      </w:pPr>
    </w:p>
    <w:p w14:paraId="5DC0FFA6" w14:textId="38D9701E" w:rsidR="00077E56" w:rsidRDefault="00077E56" w:rsidP="0007657F">
      <w:pPr>
        <w:rPr>
          <w:sz w:val="24"/>
          <w:szCs w:val="24"/>
        </w:rPr>
      </w:pPr>
    </w:p>
    <w:p w14:paraId="08AEF08A" w14:textId="3A4E961B" w:rsidR="00077E56" w:rsidRDefault="00077E56" w:rsidP="0007657F">
      <w:pPr>
        <w:rPr>
          <w:sz w:val="24"/>
          <w:szCs w:val="24"/>
        </w:rPr>
      </w:pPr>
    </w:p>
    <w:p w14:paraId="73E15795" w14:textId="26E9DDCD" w:rsidR="00077E56" w:rsidRDefault="00077E56" w:rsidP="0007657F">
      <w:pPr>
        <w:rPr>
          <w:sz w:val="24"/>
          <w:szCs w:val="24"/>
        </w:rPr>
      </w:pPr>
    </w:p>
    <w:p w14:paraId="74EEBFE3" w14:textId="06444D12" w:rsidR="00077E56" w:rsidRDefault="00077E56" w:rsidP="0007657F">
      <w:pPr>
        <w:rPr>
          <w:sz w:val="24"/>
          <w:szCs w:val="24"/>
        </w:rPr>
      </w:pPr>
    </w:p>
    <w:p w14:paraId="054D6AB5" w14:textId="060359F4" w:rsidR="00077E56" w:rsidRDefault="00077E56" w:rsidP="0007657F">
      <w:pPr>
        <w:rPr>
          <w:sz w:val="24"/>
          <w:szCs w:val="24"/>
        </w:rPr>
      </w:pPr>
    </w:p>
    <w:p w14:paraId="499EA1F5" w14:textId="65B8164F" w:rsidR="00077E56" w:rsidRDefault="00077E56" w:rsidP="0007657F">
      <w:pPr>
        <w:rPr>
          <w:sz w:val="24"/>
          <w:szCs w:val="24"/>
        </w:rPr>
      </w:pPr>
    </w:p>
    <w:p w14:paraId="623CBA86" w14:textId="4ECCA11D" w:rsidR="00077E56" w:rsidRDefault="00077E56" w:rsidP="0007657F">
      <w:pPr>
        <w:rPr>
          <w:sz w:val="24"/>
          <w:szCs w:val="24"/>
        </w:rPr>
      </w:pPr>
    </w:p>
    <w:p w14:paraId="1B4DA7BC" w14:textId="0D2894BE" w:rsidR="00077E56" w:rsidRDefault="00077E56" w:rsidP="0007657F">
      <w:pPr>
        <w:rPr>
          <w:sz w:val="24"/>
          <w:szCs w:val="24"/>
        </w:rPr>
      </w:pPr>
    </w:p>
    <w:p w14:paraId="68DEEE66" w14:textId="4B6CB3CB" w:rsidR="00077E56" w:rsidRDefault="00077E56" w:rsidP="0007657F">
      <w:pPr>
        <w:rPr>
          <w:sz w:val="24"/>
          <w:szCs w:val="24"/>
        </w:rPr>
      </w:pPr>
    </w:p>
    <w:p w14:paraId="243A4C70" w14:textId="6B93286C" w:rsidR="00077E56" w:rsidRDefault="00077E56" w:rsidP="0007657F">
      <w:pPr>
        <w:rPr>
          <w:sz w:val="24"/>
          <w:szCs w:val="24"/>
        </w:rPr>
      </w:pPr>
    </w:p>
    <w:p w14:paraId="078298DF" w14:textId="382F4A33" w:rsidR="00077E56" w:rsidRDefault="00077E56" w:rsidP="0007657F">
      <w:pPr>
        <w:rPr>
          <w:sz w:val="24"/>
          <w:szCs w:val="24"/>
        </w:rPr>
      </w:pPr>
    </w:p>
    <w:p w14:paraId="261A99C9" w14:textId="77777777" w:rsidR="00077E56" w:rsidRDefault="00077E56" w:rsidP="00077E56">
      <w:pPr>
        <w:rPr>
          <w:rStyle w:val="normaltextrun"/>
          <w:rFonts w:ascii="Times New Roman" w:eastAsia="Times New Roman" w:hAnsi="Times New Roman" w:cs="Times New Roman"/>
          <w:color w:val="000000"/>
          <w:sz w:val="24"/>
          <w:szCs w:val="24"/>
          <w:shd w:val="clear" w:color="auto" w:fill="FFFFFF"/>
        </w:rPr>
      </w:pPr>
      <w:r>
        <w:rPr>
          <w:rStyle w:val="normaltextrun"/>
          <w:rFonts w:ascii="Times New Roman" w:eastAsia="Times New Roman" w:hAnsi="Times New Roman" w:cs="Times New Roman"/>
          <w:color w:val="000000"/>
          <w:sz w:val="24"/>
          <w:szCs w:val="24"/>
          <w:shd w:val="clear" w:color="auto" w:fill="FFFFFF"/>
        </w:rPr>
        <w:lastRenderedPageBreak/>
        <w:t>PREVALENCE OF PROPOFOL-RELATED INFUSION SYNDROME (PRIS) IN CRITICALLY ILL PATIENTS</w:t>
      </w:r>
    </w:p>
    <w:p w14:paraId="658A79B3" w14:textId="77777777" w:rsidR="00077E56" w:rsidRDefault="00077E56" w:rsidP="00077E56">
      <w:pPr>
        <w:rPr>
          <w:rStyle w:val="normaltextrun"/>
          <w:rFonts w:ascii="Times New Roman" w:eastAsia="Times New Roman" w:hAnsi="Times New Roman" w:cs="Times New Roman"/>
          <w:color w:val="000000"/>
          <w:sz w:val="24"/>
          <w:szCs w:val="24"/>
          <w:shd w:val="clear" w:color="auto" w:fill="FFFFFF"/>
        </w:rPr>
      </w:pPr>
      <w:r>
        <w:rPr>
          <w:rStyle w:val="normaltextrun"/>
          <w:rFonts w:ascii="Times New Roman" w:eastAsia="Times New Roman" w:hAnsi="Times New Roman" w:cs="Times New Roman"/>
          <w:color w:val="000000"/>
          <w:sz w:val="24"/>
          <w:szCs w:val="24"/>
          <w:u w:val="single"/>
          <w:shd w:val="clear" w:color="auto" w:fill="FFFFFF"/>
        </w:rPr>
        <w:t>Li W</w:t>
      </w:r>
      <w:r>
        <w:rPr>
          <w:rStyle w:val="normaltextrun"/>
          <w:rFonts w:ascii="Times New Roman" w:eastAsia="Times New Roman" w:hAnsi="Times New Roman" w:cs="Times New Roman"/>
          <w:color w:val="000000"/>
          <w:sz w:val="24"/>
          <w:szCs w:val="24"/>
          <w:shd w:val="clear" w:color="auto" w:fill="FFFFFF"/>
        </w:rPr>
        <w:t xml:space="preserve">*, </w:t>
      </w:r>
      <w:r>
        <w:rPr>
          <w:rStyle w:val="normaltextrun"/>
          <w:rFonts w:ascii="Times New Roman" w:eastAsia="Times New Roman" w:hAnsi="Times New Roman" w:cs="Times New Roman"/>
          <w:color w:val="000000"/>
          <w:sz w:val="24"/>
          <w:szCs w:val="24"/>
          <w:u w:val="single"/>
          <w:shd w:val="clear" w:color="auto" w:fill="FFFFFF"/>
        </w:rPr>
        <w:t>Chen XJ</w:t>
      </w:r>
      <w:r>
        <w:rPr>
          <w:rStyle w:val="normaltextrun"/>
          <w:rFonts w:ascii="Times New Roman" w:eastAsia="Times New Roman" w:hAnsi="Times New Roman" w:cs="Times New Roman"/>
          <w:color w:val="000000"/>
          <w:sz w:val="24"/>
          <w:szCs w:val="24"/>
          <w:shd w:val="clear" w:color="auto" w:fill="FFFFFF"/>
        </w:rPr>
        <w:t xml:space="preserve">, </w:t>
      </w:r>
      <w:r>
        <w:rPr>
          <w:rStyle w:val="normaltextrun"/>
          <w:rFonts w:ascii="Times New Roman" w:eastAsia="Times New Roman" w:hAnsi="Times New Roman" w:cs="Times New Roman"/>
          <w:color w:val="000000"/>
          <w:sz w:val="24"/>
          <w:szCs w:val="24"/>
          <w:u w:val="single"/>
          <w:shd w:val="clear" w:color="auto" w:fill="FFFFFF"/>
        </w:rPr>
        <w:t>Altshuler D</w:t>
      </w:r>
      <w:r>
        <w:rPr>
          <w:rStyle w:val="normaltextrun"/>
          <w:rFonts w:ascii="Times New Roman" w:eastAsia="Times New Roman" w:hAnsi="Times New Roman" w:cs="Times New Roman"/>
          <w:color w:val="000000"/>
          <w:sz w:val="24"/>
          <w:szCs w:val="24"/>
          <w:shd w:val="clear" w:color="auto" w:fill="FFFFFF"/>
        </w:rPr>
        <w:t xml:space="preserve">, </w:t>
      </w:r>
      <w:r>
        <w:rPr>
          <w:rStyle w:val="normaltextrun"/>
          <w:rFonts w:ascii="Times New Roman" w:eastAsia="Times New Roman" w:hAnsi="Times New Roman" w:cs="Times New Roman"/>
          <w:color w:val="000000"/>
          <w:sz w:val="24"/>
          <w:szCs w:val="24"/>
          <w:u w:val="single"/>
          <w:shd w:val="clear" w:color="auto" w:fill="FFFFFF"/>
        </w:rPr>
        <w:t>Islam S</w:t>
      </w:r>
      <w:r>
        <w:rPr>
          <w:rStyle w:val="normaltextrun"/>
          <w:rFonts w:ascii="Times New Roman" w:eastAsia="Times New Roman" w:hAnsi="Times New Roman" w:cs="Times New Roman"/>
          <w:color w:val="000000"/>
          <w:sz w:val="24"/>
          <w:szCs w:val="24"/>
          <w:shd w:val="clear" w:color="auto" w:fill="FFFFFF"/>
        </w:rPr>
        <w:t xml:space="preserve">, </w:t>
      </w:r>
      <w:r>
        <w:rPr>
          <w:rStyle w:val="normaltextrun"/>
          <w:rFonts w:ascii="Times New Roman" w:eastAsia="Times New Roman" w:hAnsi="Times New Roman" w:cs="Times New Roman"/>
          <w:color w:val="000000"/>
          <w:sz w:val="24"/>
          <w:szCs w:val="24"/>
          <w:u w:val="single"/>
          <w:shd w:val="clear" w:color="auto" w:fill="FFFFFF"/>
        </w:rPr>
        <w:t>Emerson L</w:t>
      </w:r>
      <w:r>
        <w:rPr>
          <w:rStyle w:val="normaltextrun"/>
          <w:rFonts w:ascii="Times New Roman" w:eastAsia="Times New Roman" w:hAnsi="Times New Roman" w:cs="Times New Roman"/>
          <w:color w:val="000000"/>
          <w:sz w:val="24"/>
          <w:szCs w:val="24"/>
          <w:shd w:val="clear" w:color="auto" w:fill="FFFFFF"/>
        </w:rPr>
        <w:t xml:space="preserve">, </w:t>
      </w:r>
      <w:r>
        <w:rPr>
          <w:rStyle w:val="normaltextrun"/>
          <w:rFonts w:ascii="Times New Roman" w:eastAsia="Times New Roman" w:hAnsi="Times New Roman" w:cs="Times New Roman"/>
          <w:color w:val="000000"/>
          <w:sz w:val="24"/>
          <w:szCs w:val="24"/>
          <w:u w:val="single"/>
          <w:shd w:val="clear" w:color="auto" w:fill="FFFFFF"/>
        </w:rPr>
        <w:t>Spiegler P</w:t>
      </w:r>
      <w:r>
        <w:rPr>
          <w:rStyle w:val="normaltextrun"/>
          <w:rFonts w:ascii="Times New Roman" w:eastAsia="Times New Roman" w:hAnsi="Times New Roman" w:cs="Times New Roman"/>
          <w:color w:val="000000"/>
          <w:sz w:val="24"/>
          <w:szCs w:val="24"/>
          <w:shd w:val="clear" w:color="auto" w:fill="FFFFFF"/>
        </w:rPr>
        <w:t xml:space="preserve">, </w:t>
      </w:r>
      <w:r>
        <w:rPr>
          <w:rStyle w:val="normaltextrun"/>
          <w:rFonts w:ascii="Times New Roman" w:eastAsia="Times New Roman" w:hAnsi="Times New Roman" w:cs="Times New Roman"/>
          <w:color w:val="000000"/>
          <w:sz w:val="24"/>
          <w:szCs w:val="24"/>
          <w:u w:val="single"/>
          <w:shd w:val="clear" w:color="auto" w:fill="FFFFFF"/>
        </w:rPr>
        <w:t>Bender M</w:t>
      </w:r>
    </w:p>
    <w:p w14:paraId="0C6BC563" w14:textId="77777777" w:rsidR="00077E56" w:rsidRDefault="00077E56" w:rsidP="00077E56">
      <w:pPr>
        <w:rPr>
          <w:rStyle w:val="normaltextrun"/>
          <w:rFonts w:ascii="Times New Roman" w:eastAsia="Times New Roman" w:hAnsi="Times New Roman" w:cs="Times New Roman"/>
          <w:color w:val="000000"/>
          <w:sz w:val="24"/>
          <w:szCs w:val="24"/>
          <w:shd w:val="clear" w:color="auto" w:fill="FFFFFF"/>
        </w:rPr>
      </w:pPr>
      <w:r>
        <w:rPr>
          <w:rStyle w:val="normaltextrun"/>
          <w:rFonts w:ascii="Times New Roman" w:eastAsia="Times New Roman" w:hAnsi="Times New Roman" w:cs="Times New Roman"/>
          <w:color w:val="000000"/>
          <w:sz w:val="24"/>
          <w:szCs w:val="24"/>
          <w:shd w:val="clear" w:color="auto" w:fill="FFFFFF"/>
        </w:rPr>
        <w:t>NYU Langone Hospital—Long Island, 259 First Street Mineola, NY 11501</w:t>
      </w:r>
    </w:p>
    <w:p w14:paraId="1D801606" w14:textId="77777777" w:rsidR="00077E56" w:rsidRDefault="00077E56" w:rsidP="00077E56">
      <w:pPr>
        <w:rPr>
          <w:rStyle w:val="normaltextrun"/>
          <w:rFonts w:ascii="Times New Roman" w:eastAsia="Times New Roman" w:hAnsi="Times New Roman" w:cs="Times New Roman"/>
          <w:color w:val="000000"/>
          <w:sz w:val="24"/>
          <w:szCs w:val="24"/>
          <w:shd w:val="clear" w:color="auto" w:fill="FFFFFF"/>
        </w:rPr>
      </w:pPr>
      <w:r>
        <w:rPr>
          <w:rStyle w:val="normaltextrun"/>
          <w:rFonts w:ascii="Times New Roman" w:eastAsia="Times New Roman" w:hAnsi="Times New Roman" w:cs="Times New Roman"/>
          <w:b/>
          <w:bCs/>
          <w:color w:val="000000"/>
          <w:sz w:val="24"/>
          <w:szCs w:val="24"/>
          <w:shd w:val="clear" w:color="auto" w:fill="FFFFFF"/>
        </w:rPr>
        <w:t>Background:</w:t>
      </w:r>
      <w:r>
        <w:rPr>
          <w:rStyle w:val="normaltextrun"/>
          <w:rFonts w:ascii="Times New Roman" w:eastAsia="Times New Roman" w:hAnsi="Times New Roman" w:cs="Times New Roman"/>
          <w:color w:val="000000"/>
          <w:sz w:val="24"/>
          <w:szCs w:val="24"/>
          <w:shd w:val="clear" w:color="auto" w:fill="FFFFFF"/>
        </w:rPr>
        <w:t xml:space="preserve"> PRIS is a serious and potentially fatal condition that is characterized by a spectrum of clinical symptoms and abnormalities. Literature suggests that a longer duration of greater than 48 hours or a dose greater than 83mcg/kg/min is associated with a higher risk of PRIS. Delayed treatment of PRIS can lead to death. It is likely that patients who develop PRIS may often go unrecognized as the manifestations of PRIS can overlap with common ICU conditions. The current prevalence of PRIS is unknown, however a prospective study has reported a prevalence of 1.1% in the critically ill patients. </w:t>
      </w:r>
    </w:p>
    <w:p w14:paraId="55D99A5A" w14:textId="77777777" w:rsidR="00077E56" w:rsidRDefault="00077E56" w:rsidP="00077E56">
      <w:pPr>
        <w:rPr>
          <w:rStyle w:val="eop"/>
        </w:rPr>
      </w:pPr>
      <w:r>
        <w:rPr>
          <w:rStyle w:val="eop"/>
          <w:rFonts w:ascii="Times New Roman" w:eastAsia="Times New Roman" w:hAnsi="Times New Roman" w:cs="Times New Roman"/>
          <w:b/>
          <w:bCs/>
          <w:color w:val="000000"/>
          <w:sz w:val="24"/>
          <w:szCs w:val="24"/>
          <w:shd w:val="clear" w:color="auto" w:fill="FFFFFF"/>
        </w:rPr>
        <w:t>Objective:</w:t>
      </w:r>
      <w:r>
        <w:rPr>
          <w:rStyle w:val="normaltextrun"/>
          <w:rFonts w:ascii="Times New Roman" w:eastAsia="Times New Roman" w:hAnsi="Times New Roman" w:cs="Times New Roman"/>
          <w:color w:val="000000"/>
          <w:sz w:val="24"/>
          <w:szCs w:val="24"/>
          <w:shd w:val="clear" w:color="auto" w:fill="FFFFFF"/>
        </w:rPr>
        <w:t xml:space="preserve"> Assess the prevalence of PRIS in critically ill patients.</w:t>
      </w:r>
      <w:r>
        <w:rPr>
          <w:rStyle w:val="eop"/>
          <w:rFonts w:ascii="Times New Roman" w:eastAsia="Times New Roman" w:hAnsi="Times New Roman" w:cs="Times New Roman"/>
          <w:color w:val="000000"/>
          <w:sz w:val="24"/>
          <w:szCs w:val="24"/>
          <w:shd w:val="clear" w:color="auto" w:fill="FFFFFF"/>
        </w:rPr>
        <w:t> </w:t>
      </w:r>
    </w:p>
    <w:p w14:paraId="1803550D" w14:textId="77777777" w:rsidR="00077E56" w:rsidRDefault="00077E56" w:rsidP="00077E56">
      <w:pPr>
        <w:rPr>
          <w:rStyle w:val="eop"/>
          <w:rFonts w:ascii="Times New Roman" w:eastAsia="Times New Roman" w:hAnsi="Times New Roman" w:cs="Times New Roman"/>
          <w:color w:val="000000" w:themeColor="text1"/>
          <w:sz w:val="24"/>
          <w:szCs w:val="24"/>
        </w:rPr>
      </w:pPr>
      <w:r>
        <w:rPr>
          <w:rStyle w:val="eop"/>
          <w:rFonts w:ascii="Times New Roman" w:eastAsia="Times New Roman" w:hAnsi="Times New Roman" w:cs="Times New Roman"/>
          <w:b/>
          <w:bCs/>
          <w:color w:val="000000"/>
          <w:sz w:val="24"/>
          <w:szCs w:val="24"/>
          <w:shd w:val="clear" w:color="auto" w:fill="FFFFFF"/>
        </w:rPr>
        <w:t xml:space="preserve">Methods: </w:t>
      </w:r>
      <w:r>
        <w:rPr>
          <w:rStyle w:val="eop"/>
          <w:rFonts w:ascii="Times New Roman" w:eastAsia="Times New Roman" w:hAnsi="Times New Roman" w:cs="Times New Roman"/>
          <w:color w:val="000000"/>
          <w:sz w:val="24"/>
          <w:szCs w:val="24"/>
          <w:shd w:val="clear" w:color="auto" w:fill="FFFFFF"/>
        </w:rPr>
        <w:t>Patients were identified by querying the NYU Langone Health COVID clinical data mart during March 1st to June 25th of 2020. Inclusion criteria includes patients receiving propofol for greater than 48 hours or patients receiving a dose greater than 60mcg/kg/min for 24 hours. Exclusion criteria includes pregnant patients, and patients with rhabdomyolysis prior to start of infusion.</w:t>
      </w:r>
    </w:p>
    <w:p w14:paraId="52E28BD8" w14:textId="77777777" w:rsidR="00077E56" w:rsidRDefault="00077E56" w:rsidP="00077E56">
      <w:r>
        <w:rPr>
          <w:rStyle w:val="eop"/>
          <w:rFonts w:ascii="Times New Roman" w:eastAsia="Times New Roman" w:hAnsi="Times New Roman" w:cs="Times New Roman"/>
          <w:b/>
          <w:bCs/>
          <w:color w:val="000000" w:themeColor="text1"/>
          <w:sz w:val="24"/>
          <w:szCs w:val="24"/>
        </w:rPr>
        <w:t>Results:</w:t>
      </w:r>
      <w:r>
        <w:rPr>
          <w:rStyle w:val="eop"/>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432 patients were included in our study. Average dose of propofol infusion was 32.6mcg/kg/min with a mean infusion duration of 97 hours. Of the 432 patients, 6 patients were found to have developed PRIS during the propofol infusion with combination of multiple clinical manifestation. The prevalence of PRIS was 1.4%. </w:t>
      </w:r>
    </w:p>
    <w:p w14:paraId="581BB92E" w14:textId="77777777" w:rsidR="00077E56" w:rsidRDefault="00077E56" w:rsidP="00077E56">
      <w:pPr>
        <w:rPr>
          <w:rStyle w:val="eop"/>
        </w:rPr>
      </w:pPr>
      <w:r>
        <w:rPr>
          <w:rStyle w:val="eop"/>
          <w:rFonts w:ascii="Times New Roman" w:eastAsia="Times New Roman" w:hAnsi="Times New Roman" w:cs="Times New Roman"/>
          <w:b/>
          <w:bCs/>
          <w:color w:val="000000" w:themeColor="text1"/>
          <w:sz w:val="24"/>
          <w:szCs w:val="24"/>
        </w:rPr>
        <w:t xml:space="preserve">Conclusions: </w:t>
      </w:r>
      <w:r>
        <w:rPr>
          <w:rStyle w:val="eop"/>
          <w:rFonts w:ascii="Times New Roman" w:eastAsia="Times New Roman" w:hAnsi="Times New Roman" w:cs="Times New Roman"/>
          <w:color w:val="000000" w:themeColor="text1"/>
          <w:sz w:val="24"/>
          <w:szCs w:val="24"/>
        </w:rPr>
        <w:t>We suggest that patients should be monitored for signs of PRIS as it may be under recognized since PRIS is characterized by multiple clinical manifestation that overlap with critical illness.</w:t>
      </w:r>
    </w:p>
    <w:p w14:paraId="093E604C" w14:textId="527E5D36" w:rsidR="00077E56" w:rsidRDefault="00077E56" w:rsidP="0007657F">
      <w:pPr>
        <w:rPr>
          <w:sz w:val="24"/>
          <w:szCs w:val="24"/>
        </w:rPr>
      </w:pPr>
    </w:p>
    <w:p w14:paraId="54CAC76B" w14:textId="025135CE" w:rsidR="00077E56" w:rsidRDefault="00077E56" w:rsidP="0007657F">
      <w:pPr>
        <w:rPr>
          <w:sz w:val="24"/>
          <w:szCs w:val="24"/>
        </w:rPr>
      </w:pPr>
    </w:p>
    <w:p w14:paraId="0089E2D3" w14:textId="44CF7AF7" w:rsidR="00077E56" w:rsidRDefault="00077E56" w:rsidP="0007657F">
      <w:pPr>
        <w:rPr>
          <w:sz w:val="24"/>
          <w:szCs w:val="24"/>
        </w:rPr>
      </w:pPr>
    </w:p>
    <w:p w14:paraId="66AD3D0C" w14:textId="1F0BF4F7" w:rsidR="00077E56" w:rsidRDefault="00077E56" w:rsidP="0007657F">
      <w:pPr>
        <w:rPr>
          <w:sz w:val="24"/>
          <w:szCs w:val="24"/>
        </w:rPr>
      </w:pPr>
    </w:p>
    <w:p w14:paraId="28C16805" w14:textId="1EC05BD0" w:rsidR="00077E56" w:rsidRDefault="00077E56" w:rsidP="0007657F">
      <w:pPr>
        <w:rPr>
          <w:sz w:val="24"/>
          <w:szCs w:val="24"/>
        </w:rPr>
      </w:pPr>
    </w:p>
    <w:p w14:paraId="548F05CA" w14:textId="0DDDFE50" w:rsidR="00077E56" w:rsidRDefault="00077E56" w:rsidP="0007657F">
      <w:pPr>
        <w:rPr>
          <w:sz w:val="24"/>
          <w:szCs w:val="24"/>
        </w:rPr>
      </w:pPr>
    </w:p>
    <w:p w14:paraId="1871F411" w14:textId="66AD0212" w:rsidR="00077E56" w:rsidRDefault="00077E56" w:rsidP="0007657F">
      <w:pPr>
        <w:rPr>
          <w:sz w:val="24"/>
          <w:szCs w:val="24"/>
        </w:rPr>
      </w:pPr>
    </w:p>
    <w:p w14:paraId="16355AD6" w14:textId="17EA859B" w:rsidR="00077E56" w:rsidRDefault="00077E56" w:rsidP="0007657F">
      <w:pPr>
        <w:rPr>
          <w:sz w:val="24"/>
          <w:szCs w:val="24"/>
        </w:rPr>
      </w:pPr>
    </w:p>
    <w:p w14:paraId="1B145830" w14:textId="7687EAD9" w:rsidR="00077E56" w:rsidRDefault="00077E56" w:rsidP="0007657F">
      <w:pPr>
        <w:rPr>
          <w:sz w:val="24"/>
          <w:szCs w:val="24"/>
        </w:rPr>
      </w:pPr>
    </w:p>
    <w:p w14:paraId="574976A0" w14:textId="3858B244" w:rsidR="00077E56" w:rsidRDefault="00077E56" w:rsidP="0007657F">
      <w:pPr>
        <w:rPr>
          <w:sz w:val="24"/>
          <w:szCs w:val="24"/>
        </w:rPr>
      </w:pPr>
    </w:p>
    <w:p w14:paraId="7D6E4BB2" w14:textId="77777777" w:rsidR="00077E56" w:rsidRPr="00077E56" w:rsidRDefault="00077E56" w:rsidP="00077E56">
      <w:pPr>
        <w:spacing w:line="240" w:lineRule="auto"/>
        <w:rPr>
          <w:rFonts w:ascii="Times New Roman" w:eastAsia="Times New Roman" w:hAnsi="Times New Roman" w:cs="Times New Roman"/>
          <w:b/>
        </w:rPr>
      </w:pPr>
      <w:r w:rsidRPr="00077E56">
        <w:rPr>
          <w:rFonts w:ascii="Times New Roman" w:eastAsia="Times New Roman" w:hAnsi="Times New Roman" w:cs="Times New Roman"/>
          <w:b/>
        </w:rPr>
        <w:lastRenderedPageBreak/>
        <w:t>RETROSPECTIVE CHART REVIEW OF THE EMPIRIC USE OF LINEZOLID AND RATE OF METHICILLIN-RESISTANT STAPHYLOCOCCUS AUREUS INFECTIONS IN THE CORONARY CARE UNIT</w:t>
      </w:r>
    </w:p>
    <w:p w14:paraId="0B5AE25B" w14:textId="77777777" w:rsidR="00077E56" w:rsidRPr="00077E56" w:rsidRDefault="00077E56" w:rsidP="00077E56">
      <w:pPr>
        <w:spacing w:line="240" w:lineRule="auto"/>
        <w:rPr>
          <w:rFonts w:ascii="Times New Roman" w:eastAsia="Times New Roman" w:hAnsi="Times New Roman" w:cs="Times New Roman"/>
        </w:rPr>
      </w:pPr>
      <w:r w:rsidRPr="00077E56">
        <w:rPr>
          <w:rFonts w:ascii="Times New Roman" w:eastAsia="Times New Roman" w:hAnsi="Times New Roman" w:cs="Times New Roman"/>
          <w:u w:val="single"/>
        </w:rPr>
        <w:t>Li E*</w:t>
      </w:r>
      <w:r w:rsidRPr="00077E56">
        <w:rPr>
          <w:rFonts w:ascii="Times New Roman" w:eastAsia="Times New Roman" w:hAnsi="Times New Roman" w:cs="Times New Roman"/>
        </w:rPr>
        <w:t xml:space="preserve">, </w:t>
      </w:r>
      <w:r w:rsidRPr="00077E56">
        <w:rPr>
          <w:rFonts w:ascii="Times New Roman" w:eastAsia="Times New Roman" w:hAnsi="Times New Roman" w:cs="Times New Roman"/>
          <w:u w:val="single"/>
        </w:rPr>
        <w:t>Konduru S</w:t>
      </w:r>
    </w:p>
    <w:p w14:paraId="38AA65BF" w14:textId="77777777" w:rsidR="00077E56" w:rsidRPr="00077E56" w:rsidRDefault="00077E56" w:rsidP="00077E56">
      <w:pPr>
        <w:spacing w:line="240" w:lineRule="auto"/>
        <w:rPr>
          <w:rFonts w:ascii="Times New Roman" w:eastAsia="Times New Roman" w:hAnsi="Times New Roman" w:cs="Times New Roman"/>
        </w:rPr>
      </w:pPr>
      <w:r w:rsidRPr="00077E56">
        <w:rPr>
          <w:rFonts w:ascii="Times New Roman" w:eastAsia="Times New Roman" w:hAnsi="Times New Roman" w:cs="Times New Roman"/>
        </w:rPr>
        <w:t>Albany Medical Center, 43 New Scotland Ave, Albany, NY 12208</w:t>
      </w:r>
    </w:p>
    <w:p w14:paraId="7C0E1C10" w14:textId="77777777" w:rsidR="00077E56" w:rsidRPr="00077E56" w:rsidRDefault="00077E56" w:rsidP="00077E56">
      <w:pPr>
        <w:pStyle w:val="CommentText"/>
        <w:rPr>
          <w:rFonts w:ascii="Times New Roman" w:eastAsia="Times New Roman" w:hAnsi="Times New Roman" w:cs="Times New Roman"/>
          <w:sz w:val="22"/>
          <w:szCs w:val="22"/>
          <w:lang w:eastAsia="en-US"/>
        </w:rPr>
      </w:pPr>
      <w:r w:rsidRPr="00077E56">
        <w:rPr>
          <w:rFonts w:ascii="Times New Roman" w:eastAsia="Times New Roman" w:hAnsi="Times New Roman" w:cs="Times New Roman"/>
          <w:b/>
          <w:sz w:val="22"/>
          <w:szCs w:val="22"/>
          <w:lang w:eastAsia="en-US"/>
        </w:rPr>
        <w:t>Background:</w:t>
      </w:r>
      <w:r w:rsidRPr="00077E56">
        <w:rPr>
          <w:rFonts w:ascii="Times New Roman" w:eastAsia="Times New Roman" w:hAnsi="Times New Roman" w:cs="Times New Roman"/>
          <w:sz w:val="22"/>
          <w:szCs w:val="22"/>
          <w:lang w:eastAsia="en-US"/>
        </w:rPr>
        <w:t xml:space="preserve"> Linezolid is typically the drug of choice for empiric methicillin-resistant Staphylococcus aureus (MRSA) coverage in our institution’s coronary care unit (CCU). It is unclear whether the patients who were given linezolid for empiric MRSA coverage actually have risk factors or if cultures were drawn to guide the use of antibiotics. This study was conducted to assess linezolid usage and MRSA infection rate in the CCU, </w:t>
      </w:r>
      <w:r w:rsidRPr="00077E56">
        <w:rPr>
          <w:rFonts w:ascii="Times New Roman" w:hAnsi="Times New Roman" w:cs="Times New Roman"/>
          <w:sz w:val="22"/>
          <w:szCs w:val="22"/>
        </w:rPr>
        <w:t xml:space="preserve">which may help in establishing a protocol to optimize linezolid utilization. </w:t>
      </w:r>
    </w:p>
    <w:p w14:paraId="44577D2F" w14:textId="77777777" w:rsidR="00077E56" w:rsidRPr="00077E56" w:rsidRDefault="00077E56" w:rsidP="00077E56">
      <w:pPr>
        <w:spacing w:line="240" w:lineRule="auto"/>
        <w:rPr>
          <w:rFonts w:ascii="Times New Roman" w:eastAsia="Times New Roman" w:hAnsi="Times New Roman" w:cs="Times New Roman"/>
        </w:rPr>
      </w:pPr>
      <w:r w:rsidRPr="00077E56">
        <w:rPr>
          <w:rFonts w:ascii="Times New Roman" w:eastAsia="Times New Roman" w:hAnsi="Times New Roman" w:cs="Times New Roman"/>
          <w:b/>
        </w:rPr>
        <w:t>Objective:</w:t>
      </w:r>
      <w:r w:rsidRPr="00077E56">
        <w:rPr>
          <w:rFonts w:ascii="Times New Roman" w:eastAsia="Times New Roman" w:hAnsi="Times New Roman" w:cs="Times New Roman"/>
        </w:rPr>
        <w:t xml:space="preserve"> The primary outcome was to determine the appropriateness of linezolid initiation based on documented indication and presence of MRSA risk factors. Secondary outcome was to determine the rate of MRSA culture and nares PCR positivity. Patients were excluded if they were on linezolid prior to CCU admission or admitted under another service. </w:t>
      </w:r>
    </w:p>
    <w:p w14:paraId="6B6A5926" w14:textId="77777777" w:rsidR="00077E56" w:rsidRPr="00077E56" w:rsidRDefault="00077E56" w:rsidP="00077E56">
      <w:pPr>
        <w:spacing w:line="240" w:lineRule="auto"/>
        <w:rPr>
          <w:rFonts w:ascii="Times New Roman" w:eastAsia="Times New Roman" w:hAnsi="Times New Roman" w:cs="Times New Roman"/>
        </w:rPr>
      </w:pPr>
      <w:r w:rsidRPr="00077E56">
        <w:rPr>
          <w:rFonts w:ascii="Times New Roman" w:eastAsia="Times New Roman" w:hAnsi="Times New Roman" w:cs="Times New Roman"/>
          <w:b/>
        </w:rPr>
        <w:t>Method:</w:t>
      </w:r>
      <w:r w:rsidRPr="00077E56">
        <w:rPr>
          <w:rFonts w:ascii="Times New Roman" w:eastAsia="Times New Roman" w:hAnsi="Times New Roman" w:cs="Times New Roman"/>
        </w:rPr>
        <w:t xml:space="preserve"> The institutional review board approved this retrospective chart review of patients who received at least two doses of linezolid during their CCU stay from January 2019 to July 2020. Descriptive statistics were performed.</w:t>
      </w:r>
    </w:p>
    <w:p w14:paraId="69EB0847" w14:textId="77777777" w:rsidR="00077E56" w:rsidRPr="00077E56" w:rsidRDefault="00077E56" w:rsidP="00077E56">
      <w:pPr>
        <w:spacing w:line="240" w:lineRule="auto"/>
        <w:rPr>
          <w:rFonts w:ascii="Times New Roman" w:eastAsia="Times New Roman" w:hAnsi="Times New Roman" w:cs="Times New Roman"/>
        </w:rPr>
      </w:pPr>
      <w:r w:rsidRPr="00077E56">
        <w:rPr>
          <w:rFonts w:ascii="Times New Roman" w:eastAsia="Times New Roman" w:hAnsi="Times New Roman" w:cs="Times New Roman"/>
          <w:b/>
        </w:rPr>
        <w:t>Results:</w:t>
      </w:r>
      <w:r w:rsidRPr="00077E56">
        <w:rPr>
          <w:rFonts w:ascii="Times New Roman" w:eastAsia="Times New Roman" w:hAnsi="Times New Roman" w:cs="Times New Roman"/>
        </w:rPr>
        <w:t xml:space="preserve"> There were 93 patients included and 42 (45%) had risk factors for MRSA. Of the 63 patients with MRSA nares swabs, 7 (11.1%) tested positive for MRSA colonization. Of the 92 patients with cultures drawn, 6 (6.5%) had positive cultures for MRSA, and 4 out of these 6 also had positive MRSA nares swabs.</w:t>
      </w:r>
    </w:p>
    <w:p w14:paraId="78A98732" w14:textId="77777777" w:rsidR="00077E56" w:rsidRPr="00077E56" w:rsidRDefault="00077E56" w:rsidP="00077E56">
      <w:pPr>
        <w:spacing w:line="240" w:lineRule="auto"/>
        <w:rPr>
          <w:rFonts w:ascii="Times New Roman" w:eastAsiaTheme="minorEastAsia" w:hAnsi="Times New Roman" w:cs="Times New Roman"/>
          <w:lang w:eastAsia="zh-CN"/>
        </w:rPr>
      </w:pPr>
      <w:r w:rsidRPr="00077E56">
        <w:rPr>
          <w:rFonts w:ascii="Times New Roman" w:eastAsia="Times New Roman" w:hAnsi="Times New Roman" w:cs="Times New Roman"/>
          <w:b/>
        </w:rPr>
        <w:t>Conclusion:</w:t>
      </w:r>
      <w:r w:rsidRPr="00077E56">
        <w:rPr>
          <w:rFonts w:ascii="Times New Roman" w:eastAsia="Times New Roman" w:hAnsi="Times New Roman" w:cs="Times New Roman"/>
        </w:rPr>
        <w:t xml:space="preserve"> </w:t>
      </w:r>
      <w:r w:rsidRPr="00077E56">
        <w:rPr>
          <w:rFonts w:ascii="Times New Roman" w:hAnsi="Times New Roman" w:cs="Times New Roman"/>
        </w:rPr>
        <w:t>Linezolid was started in more than half of patients in CCU despite the absence of MRSA risk factors and the rate of MRSA culture and nasal PCR positivity was low.</w:t>
      </w:r>
    </w:p>
    <w:p w14:paraId="3DBBA1E3" w14:textId="2AFAE259" w:rsidR="00077E56" w:rsidRDefault="00077E56" w:rsidP="0007657F">
      <w:pPr>
        <w:rPr>
          <w:sz w:val="24"/>
          <w:szCs w:val="24"/>
        </w:rPr>
      </w:pPr>
    </w:p>
    <w:p w14:paraId="75CA2F0B" w14:textId="687BBA78" w:rsidR="00077E56" w:rsidRDefault="00077E56" w:rsidP="0007657F">
      <w:pPr>
        <w:rPr>
          <w:sz w:val="24"/>
          <w:szCs w:val="24"/>
        </w:rPr>
      </w:pPr>
    </w:p>
    <w:p w14:paraId="6DAD8900" w14:textId="356DA50F" w:rsidR="00077E56" w:rsidRDefault="00077E56" w:rsidP="0007657F">
      <w:pPr>
        <w:rPr>
          <w:sz w:val="24"/>
          <w:szCs w:val="24"/>
        </w:rPr>
      </w:pPr>
    </w:p>
    <w:p w14:paraId="4A620531" w14:textId="2D6E135A" w:rsidR="00077E56" w:rsidRDefault="00077E56" w:rsidP="0007657F">
      <w:pPr>
        <w:rPr>
          <w:sz w:val="24"/>
          <w:szCs w:val="24"/>
        </w:rPr>
      </w:pPr>
    </w:p>
    <w:p w14:paraId="72E92268" w14:textId="74D9F141" w:rsidR="00077E56" w:rsidRDefault="00077E56" w:rsidP="0007657F">
      <w:pPr>
        <w:rPr>
          <w:sz w:val="24"/>
          <w:szCs w:val="24"/>
        </w:rPr>
      </w:pPr>
    </w:p>
    <w:p w14:paraId="68094605" w14:textId="46D00DF3" w:rsidR="00077E56" w:rsidRDefault="00077E56" w:rsidP="0007657F">
      <w:pPr>
        <w:rPr>
          <w:sz w:val="24"/>
          <w:szCs w:val="24"/>
        </w:rPr>
      </w:pPr>
    </w:p>
    <w:p w14:paraId="36B3FED7" w14:textId="32445699" w:rsidR="00077E56" w:rsidRDefault="00077E56" w:rsidP="0007657F">
      <w:pPr>
        <w:rPr>
          <w:sz w:val="24"/>
          <w:szCs w:val="24"/>
        </w:rPr>
      </w:pPr>
    </w:p>
    <w:p w14:paraId="02BAF2EB" w14:textId="5905D1D9" w:rsidR="00077E56" w:rsidRDefault="00077E56" w:rsidP="0007657F">
      <w:pPr>
        <w:rPr>
          <w:sz w:val="24"/>
          <w:szCs w:val="24"/>
        </w:rPr>
      </w:pPr>
    </w:p>
    <w:p w14:paraId="4F505FAE" w14:textId="59736BA1" w:rsidR="00077E56" w:rsidRDefault="00077E56" w:rsidP="0007657F">
      <w:pPr>
        <w:rPr>
          <w:sz w:val="24"/>
          <w:szCs w:val="24"/>
        </w:rPr>
      </w:pPr>
    </w:p>
    <w:p w14:paraId="3BF4DC06" w14:textId="3BA9B888" w:rsidR="00077E56" w:rsidRDefault="00077E56" w:rsidP="0007657F">
      <w:pPr>
        <w:rPr>
          <w:sz w:val="24"/>
          <w:szCs w:val="24"/>
        </w:rPr>
      </w:pPr>
    </w:p>
    <w:p w14:paraId="791917E3" w14:textId="52B6618A" w:rsidR="00077E56" w:rsidRDefault="00077E56" w:rsidP="0007657F">
      <w:pPr>
        <w:rPr>
          <w:sz w:val="24"/>
          <w:szCs w:val="24"/>
        </w:rPr>
      </w:pPr>
    </w:p>
    <w:p w14:paraId="39C8D18F" w14:textId="681C4066" w:rsidR="00077E56" w:rsidRDefault="00077E56" w:rsidP="0007657F">
      <w:pPr>
        <w:rPr>
          <w:sz w:val="24"/>
          <w:szCs w:val="24"/>
        </w:rPr>
      </w:pPr>
    </w:p>
    <w:p w14:paraId="2204AA03" w14:textId="77777777" w:rsidR="00077E56" w:rsidRDefault="00077E56" w:rsidP="00077E56">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DEVELOPMENT OF A DYNAMIC AUTOMATED DISPENSING CABINET USAGE ALGORITHM</w:t>
      </w:r>
    </w:p>
    <w:p w14:paraId="27FB01D1" w14:textId="77777777" w:rsidR="00077E56" w:rsidRDefault="00077E56" w:rsidP="00077E56">
      <w:pPr>
        <w:spacing w:line="240" w:lineRule="auto"/>
        <w:rPr>
          <w:rFonts w:ascii="Times New Roman" w:eastAsia="Times New Roman" w:hAnsi="Times New Roman" w:cs="Times New Roman"/>
          <w:color w:val="000000" w:themeColor="text1"/>
          <w:sz w:val="24"/>
          <w:szCs w:val="24"/>
          <w:u w:val="single"/>
        </w:rPr>
      </w:pPr>
      <w:r>
        <w:rPr>
          <w:rFonts w:ascii="Times New Roman" w:eastAsia="Times New Roman" w:hAnsi="Times New Roman" w:cs="Times New Roman"/>
          <w:color w:val="000000" w:themeColor="text1"/>
          <w:sz w:val="24"/>
          <w:szCs w:val="24"/>
          <w:u w:val="single"/>
        </w:rPr>
        <w:t>Liu P*</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u w:val="single"/>
        </w:rPr>
        <w:t>Harmon R</w:t>
      </w:r>
    </w:p>
    <w:p w14:paraId="638188C3" w14:textId="77777777" w:rsidR="00077E56" w:rsidRDefault="00077E56" w:rsidP="00077E56">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Lenox Hill Hospital, 100 E 77</w:t>
      </w:r>
      <w:r>
        <w:rPr>
          <w:rFonts w:ascii="Times New Roman" w:eastAsia="Times New Roman" w:hAnsi="Times New Roman" w:cs="Times New Roman"/>
          <w:color w:val="000000" w:themeColor="text1"/>
          <w:sz w:val="24"/>
          <w:szCs w:val="24"/>
          <w:vertAlign w:val="superscript"/>
        </w:rPr>
        <w:t>th</w:t>
      </w:r>
      <w:r>
        <w:rPr>
          <w:rFonts w:ascii="Times New Roman" w:eastAsia="Times New Roman" w:hAnsi="Times New Roman" w:cs="Times New Roman"/>
          <w:color w:val="000000" w:themeColor="text1"/>
          <w:sz w:val="24"/>
          <w:szCs w:val="24"/>
        </w:rPr>
        <w:t>St New York, NY 10075</w:t>
      </w:r>
    </w:p>
    <w:p w14:paraId="7B6898DF" w14:textId="77777777" w:rsidR="00077E56" w:rsidRDefault="00077E56" w:rsidP="00077E56">
      <w:pPr>
        <w:spacing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w:t>
      </w:r>
    </w:p>
    <w:p w14:paraId="76BDA2C3" w14:textId="77777777" w:rsidR="00077E56" w:rsidRDefault="00077E56" w:rsidP="00077E56">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Background: </w:t>
      </w:r>
      <w:r>
        <w:rPr>
          <w:rFonts w:ascii="Times New Roman" w:eastAsia="Times New Roman" w:hAnsi="Times New Roman" w:cs="Times New Roman"/>
          <w:color w:val="000000" w:themeColor="text1"/>
          <w:sz w:val="24"/>
          <w:szCs w:val="24"/>
        </w:rPr>
        <w:t>Automated dispensing cabinets (ADC) have become an integral part of the medication use process. ADC track medication removals to increase workflow efficiency and prevent medication errors. Currently, our hospital utilizes set Periodic Automatic Replacement (PAR) levels and generate alerts to refill items when they fall below the set amount. This process requires manual adjustment for each item and may not reflect actual unit requirements.</w:t>
      </w:r>
    </w:p>
    <w:p w14:paraId="641A0780" w14:textId="77777777" w:rsidR="00077E56" w:rsidRDefault="00077E56" w:rsidP="00077E56">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Objectives:</w:t>
      </w:r>
      <w:r>
        <w:rPr>
          <w:rFonts w:ascii="Times New Roman" w:eastAsia="Times New Roman" w:hAnsi="Times New Roman" w:cs="Times New Roman"/>
          <w:color w:val="000000" w:themeColor="text1"/>
          <w:sz w:val="24"/>
          <w:szCs w:val="24"/>
        </w:rPr>
        <w:t xml:space="preserve"> The objective of this project is to improve ADC inventory management by identifying quantifiable outcomes and developing a dynamic inventory strategy to update inventory on a routine basis.</w:t>
      </w:r>
    </w:p>
    <w:p w14:paraId="559EB2A8" w14:textId="77777777" w:rsidR="00077E56" w:rsidRDefault="00077E56" w:rsidP="00077E56">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Methods: </w:t>
      </w:r>
      <w:r>
        <w:rPr>
          <w:rFonts w:ascii="Times New Roman" w:eastAsia="Times New Roman" w:hAnsi="Times New Roman" w:cs="Times New Roman"/>
          <w:color w:val="000000" w:themeColor="text1"/>
          <w:sz w:val="24"/>
          <w:szCs w:val="24"/>
        </w:rPr>
        <w:t>A literature review was performed to find prior inventory management methodologies. One unit in the hospital was chosen to pilot this project. Medications in this unit were categorized by their status and usage. A report was created to determine potential outcomes that could be quantified. These outcomes included the average daily quantity of medications dispensed from the ADC, average daily medications dispensed from the central pharmacy to this unit, number of stockouts, number of expired medications, and vend-to-refill ratio.</w:t>
      </w:r>
    </w:p>
    <w:p w14:paraId="4438CC38" w14:textId="77777777" w:rsidR="00077E56" w:rsidRDefault="00077E56" w:rsidP="00077E56">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Based on quantified outcomes deemed applicable for the pilot unit, an algorithm to determine the new PAR of medications will be developed. Inventory selected to be adjusted will be implemented in the central ADC system per algorithm recommendations. A report will be generated following the implementation of the ADC inventory change, which will measure the efficacy of the quantified outcomes and determine further adjustments to improve algorithm response. </w:t>
      </w:r>
    </w:p>
    <w:p w14:paraId="51FF5D7B" w14:textId="77777777" w:rsidR="00077E56" w:rsidRDefault="00077E56" w:rsidP="00077E56">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Results: </w:t>
      </w:r>
      <w:r>
        <w:rPr>
          <w:rFonts w:ascii="Times New Roman" w:eastAsia="Times New Roman" w:hAnsi="Times New Roman" w:cs="Times New Roman"/>
          <w:color w:val="000000" w:themeColor="text1"/>
          <w:sz w:val="24"/>
          <w:szCs w:val="24"/>
        </w:rPr>
        <w:t>In progress</w:t>
      </w:r>
    </w:p>
    <w:p w14:paraId="4CB2090E" w14:textId="77777777" w:rsidR="00077E56" w:rsidRDefault="00077E56" w:rsidP="00077E56">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Conclusions: </w:t>
      </w:r>
      <w:r>
        <w:rPr>
          <w:rFonts w:ascii="Times New Roman" w:eastAsia="Times New Roman" w:hAnsi="Times New Roman" w:cs="Times New Roman"/>
          <w:color w:val="000000" w:themeColor="text1"/>
          <w:sz w:val="24"/>
          <w:szCs w:val="24"/>
        </w:rPr>
        <w:t>In progress</w:t>
      </w:r>
    </w:p>
    <w:p w14:paraId="1EDF8703" w14:textId="651241F7" w:rsidR="00077E56" w:rsidRDefault="00077E56" w:rsidP="0007657F">
      <w:pPr>
        <w:rPr>
          <w:sz w:val="24"/>
          <w:szCs w:val="24"/>
        </w:rPr>
      </w:pPr>
    </w:p>
    <w:p w14:paraId="08797F72" w14:textId="381ADC4E" w:rsidR="00077E56" w:rsidRDefault="00077E56" w:rsidP="0007657F">
      <w:pPr>
        <w:rPr>
          <w:sz w:val="24"/>
          <w:szCs w:val="24"/>
        </w:rPr>
      </w:pPr>
    </w:p>
    <w:p w14:paraId="79827666" w14:textId="1D050DA2" w:rsidR="00077E56" w:rsidRDefault="00077E56" w:rsidP="0007657F">
      <w:pPr>
        <w:rPr>
          <w:sz w:val="24"/>
          <w:szCs w:val="24"/>
        </w:rPr>
      </w:pPr>
    </w:p>
    <w:p w14:paraId="65E8CCF3" w14:textId="2F0B82F6" w:rsidR="00077E56" w:rsidRDefault="00077E56" w:rsidP="0007657F">
      <w:pPr>
        <w:rPr>
          <w:sz w:val="24"/>
          <w:szCs w:val="24"/>
        </w:rPr>
      </w:pPr>
    </w:p>
    <w:p w14:paraId="67ABD46F" w14:textId="46018196" w:rsidR="00077E56" w:rsidRDefault="00077E56" w:rsidP="0007657F">
      <w:pPr>
        <w:rPr>
          <w:sz w:val="24"/>
          <w:szCs w:val="24"/>
        </w:rPr>
      </w:pPr>
    </w:p>
    <w:p w14:paraId="42D53A79" w14:textId="09310BC7" w:rsidR="00077E56" w:rsidRDefault="00077E56" w:rsidP="0007657F">
      <w:pPr>
        <w:rPr>
          <w:sz w:val="24"/>
          <w:szCs w:val="24"/>
        </w:rPr>
      </w:pPr>
    </w:p>
    <w:p w14:paraId="399D8046" w14:textId="6A4ED2FF" w:rsidR="00077E56" w:rsidRDefault="00077E56" w:rsidP="0007657F">
      <w:pPr>
        <w:rPr>
          <w:sz w:val="24"/>
          <w:szCs w:val="24"/>
        </w:rPr>
      </w:pPr>
    </w:p>
    <w:p w14:paraId="6D016B1B" w14:textId="6A76EF48" w:rsidR="00077E56" w:rsidRDefault="00077E56" w:rsidP="0007657F">
      <w:pPr>
        <w:rPr>
          <w:sz w:val="24"/>
          <w:szCs w:val="24"/>
        </w:rPr>
      </w:pPr>
    </w:p>
    <w:p w14:paraId="08F19AF1" w14:textId="77777777" w:rsidR="00077E56" w:rsidRDefault="00077E56" w:rsidP="00077E56">
      <w:pPr>
        <w:rPr>
          <w:rFonts w:ascii="Times New Roman" w:hAnsi="Times New Roman" w:cs="Times New Roman"/>
        </w:rPr>
      </w:pPr>
      <w:r>
        <w:rPr>
          <w:rFonts w:ascii="Times New Roman" w:hAnsi="Times New Roman" w:cs="Times New Roman"/>
        </w:rPr>
        <w:lastRenderedPageBreak/>
        <w:t>A SINGLE CENTER ANALYSIS OF SUGAMMADEX AND NEOSTIGMINE/GLYCOPYRROLATE UTILIZATION</w:t>
      </w:r>
    </w:p>
    <w:p w14:paraId="37D1C7BF" w14:textId="77777777" w:rsidR="00077E56" w:rsidRDefault="00077E56" w:rsidP="00077E56">
      <w:pPr>
        <w:rPr>
          <w:rFonts w:ascii="Times New Roman" w:hAnsi="Times New Roman" w:cs="Times New Roman"/>
        </w:rPr>
      </w:pPr>
    </w:p>
    <w:p w14:paraId="05E8CD12" w14:textId="77777777" w:rsidR="00077E56" w:rsidRDefault="00077E56" w:rsidP="00077E56">
      <w:pPr>
        <w:rPr>
          <w:rFonts w:ascii="Times New Roman" w:hAnsi="Times New Roman" w:cs="Times New Roman"/>
          <w:u w:val="single"/>
        </w:rPr>
      </w:pPr>
      <w:r>
        <w:rPr>
          <w:rFonts w:ascii="Times New Roman" w:hAnsi="Times New Roman" w:cs="Times New Roman"/>
          <w:u w:val="single"/>
        </w:rPr>
        <w:t>Lu H</w:t>
      </w:r>
      <w:r>
        <w:rPr>
          <w:rFonts w:ascii="Times New Roman" w:hAnsi="Times New Roman" w:cs="Times New Roman"/>
        </w:rPr>
        <w:t xml:space="preserve">*, </w:t>
      </w:r>
      <w:r>
        <w:rPr>
          <w:rFonts w:ascii="Times New Roman" w:hAnsi="Times New Roman" w:cs="Times New Roman"/>
          <w:u w:val="single"/>
        </w:rPr>
        <w:t>Seabury R</w:t>
      </w:r>
      <w:r>
        <w:rPr>
          <w:rFonts w:ascii="Times New Roman" w:hAnsi="Times New Roman" w:cs="Times New Roman"/>
        </w:rPr>
        <w:t xml:space="preserve">, </w:t>
      </w:r>
      <w:r>
        <w:rPr>
          <w:rFonts w:ascii="Times New Roman" w:hAnsi="Times New Roman" w:cs="Times New Roman"/>
          <w:u w:val="single"/>
        </w:rPr>
        <w:t>Feldman E</w:t>
      </w:r>
      <w:r>
        <w:rPr>
          <w:rFonts w:ascii="Times New Roman" w:hAnsi="Times New Roman" w:cs="Times New Roman"/>
        </w:rPr>
        <w:t xml:space="preserve">, </w:t>
      </w:r>
      <w:r>
        <w:rPr>
          <w:rFonts w:ascii="Times New Roman" w:hAnsi="Times New Roman" w:cs="Times New Roman"/>
          <w:u w:val="single"/>
        </w:rPr>
        <w:t>Darko W</w:t>
      </w:r>
      <w:r>
        <w:rPr>
          <w:rFonts w:ascii="Times New Roman" w:hAnsi="Times New Roman" w:cs="Times New Roman"/>
        </w:rPr>
        <w:t xml:space="preserve">, </w:t>
      </w:r>
      <w:r>
        <w:rPr>
          <w:rFonts w:ascii="Times New Roman" w:hAnsi="Times New Roman" w:cs="Times New Roman"/>
          <w:u w:val="single"/>
        </w:rPr>
        <w:t>Probst L</w:t>
      </w:r>
      <w:r>
        <w:rPr>
          <w:rFonts w:ascii="Times New Roman" w:hAnsi="Times New Roman" w:cs="Times New Roman"/>
        </w:rPr>
        <w:t xml:space="preserve">, </w:t>
      </w:r>
      <w:r>
        <w:rPr>
          <w:rFonts w:ascii="Times New Roman" w:hAnsi="Times New Roman" w:cs="Times New Roman"/>
          <w:u w:val="single"/>
        </w:rPr>
        <w:t>Miller C</w:t>
      </w:r>
    </w:p>
    <w:p w14:paraId="4F0FE77B" w14:textId="77777777" w:rsidR="00077E56" w:rsidRDefault="00077E56" w:rsidP="00077E56">
      <w:pPr>
        <w:rPr>
          <w:rFonts w:ascii="Times New Roman" w:hAnsi="Times New Roman" w:cs="Times New Roman"/>
        </w:rPr>
      </w:pPr>
    </w:p>
    <w:p w14:paraId="30303F83" w14:textId="77777777" w:rsidR="00077E56" w:rsidRDefault="00077E56" w:rsidP="00077E56">
      <w:pPr>
        <w:rPr>
          <w:rFonts w:ascii="Times New Roman" w:hAnsi="Times New Roman" w:cs="Times New Roman"/>
        </w:rPr>
      </w:pPr>
      <w:r>
        <w:rPr>
          <w:rFonts w:ascii="Times New Roman" w:hAnsi="Times New Roman" w:cs="Times New Roman"/>
        </w:rPr>
        <w:t>Upstate University Hospital, 750 E Adams St, Syracuse, NY 13210</w:t>
      </w:r>
    </w:p>
    <w:p w14:paraId="460158A9" w14:textId="77777777" w:rsidR="00077E56" w:rsidRDefault="00077E56" w:rsidP="00077E56">
      <w:pPr>
        <w:rPr>
          <w:rFonts w:ascii="Times New Roman" w:hAnsi="Times New Roman" w:cs="Times New Roman"/>
        </w:rPr>
      </w:pPr>
    </w:p>
    <w:p w14:paraId="3CB31D97" w14:textId="77777777" w:rsidR="00077E56" w:rsidRDefault="00077E56" w:rsidP="00077E56">
      <w:pPr>
        <w:rPr>
          <w:rFonts w:ascii="Times New Roman" w:hAnsi="Times New Roman" w:cs="Times New Roman"/>
        </w:rPr>
      </w:pPr>
      <w:r>
        <w:rPr>
          <w:rFonts w:ascii="Times New Roman" w:hAnsi="Times New Roman" w:cs="Times New Roman"/>
          <w:b/>
          <w:bCs/>
        </w:rPr>
        <w:t>Background:</w:t>
      </w:r>
      <w:r>
        <w:t xml:space="preserve"> </w:t>
      </w:r>
      <w:r>
        <w:rPr>
          <w:rFonts w:ascii="Times New Roman" w:hAnsi="Times New Roman" w:cs="Times New Roman"/>
        </w:rPr>
        <w:t>Cholinesterase inhibitors, such as neostigmine, were conventionally used to reverse neuromuscular blockade until the discovery of a modified γ-cyclodextrin, sugammadex. Sugammadex forms a water-soluble complex with aminosteroid neuromuscular blocking agents (NMBAs) so NMBAs can move from the neuromuscular junction to the plasma. The use of sugammadex compared to the conventional agent(s) and its impact on post-anesthesia care unit (PACU) length of stay (LOS) has been mixed across studies. With this heterogeneity in results between sugammadex and neostigmine/glycopyrrolate for neuromuscular blockade reversal, we sought to describe these real-world differences at our institution.</w:t>
      </w:r>
    </w:p>
    <w:p w14:paraId="3E830DA9" w14:textId="77777777" w:rsidR="00077E56" w:rsidRDefault="00077E56" w:rsidP="00077E56">
      <w:pPr>
        <w:rPr>
          <w:rFonts w:ascii="Times New Roman" w:hAnsi="Times New Roman" w:cs="Times New Roman"/>
        </w:rPr>
      </w:pPr>
    </w:p>
    <w:p w14:paraId="44AFE423" w14:textId="77777777" w:rsidR="00077E56" w:rsidRDefault="00077E56" w:rsidP="00077E56">
      <w:pPr>
        <w:autoSpaceDE w:val="0"/>
        <w:autoSpaceDN w:val="0"/>
        <w:adjustRightInd w:val="0"/>
        <w:rPr>
          <w:rFonts w:ascii="Times New Roman" w:hAnsi="Times New Roman" w:cs="Times New Roman"/>
        </w:rPr>
      </w:pPr>
      <w:r>
        <w:rPr>
          <w:rFonts w:ascii="Times New Roman" w:hAnsi="Times New Roman" w:cs="Times New Roman"/>
          <w:b/>
          <w:bCs/>
        </w:rPr>
        <w:t xml:space="preserve">Objective: </w:t>
      </w:r>
      <w:r>
        <w:rPr>
          <w:rFonts w:ascii="Times New Roman" w:hAnsi="Times New Roman" w:cs="Times New Roman"/>
        </w:rPr>
        <w:t>To compare differences in time to operating room exit, PACU LOS, and their associated costs between surgical patients receiving sugammadex versus neostigmine/glycopyrrolate.</w:t>
      </w:r>
    </w:p>
    <w:p w14:paraId="2ACFE117" w14:textId="77777777" w:rsidR="00077E56" w:rsidRDefault="00077E56" w:rsidP="00077E56">
      <w:pPr>
        <w:autoSpaceDE w:val="0"/>
        <w:autoSpaceDN w:val="0"/>
        <w:adjustRightInd w:val="0"/>
        <w:rPr>
          <w:rFonts w:ascii="Times New Roman" w:hAnsi="Times New Roman" w:cs="Times New Roman"/>
        </w:rPr>
      </w:pPr>
    </w:p>
    <w:p w14:paraId="03FB090C" w14:textId="77777777" w:rsidR="00077E56" w:rsidRDefault="00077E56" w:rsidP="00077E56">
      <w:pPr>
        <w:rPr>
          <w:rFonts w:ascii="Times New Roman" w:hAnsi="Times New Roman" w:cs="Times New Roman"/>
        </w:rPr>
      </w:pPr>
      <w:r>
        <w:rPr>
          <w:rFonts w:ascii="Times New Roman" w:hAnsi="Times New Roman" w:cs="Times New Roman"/>
          <w:b/>
          <w:bCs/>
        </w:rPr>
        <w:t xml:space="preserve">Methods: </w:t>
      </w:r>
      <w:r>
        <w:rPr>
          <w:rFonts w:ascii="Times New Roman" w:hAnsi="Times New Roman" w:cs="Times New Roman"/>
        </w:rPr>
        <w:t>This was a single center, retrospective cohort study that included adult surgical patients greater than 18 years of age who received either sugammadex or neostigmine/glycopyrrolate for the reversal of neuromuscular blockade. Subjects were matched based on the criteria of body mass index, NMBA (rocuronium alone, vecuronium alone, vecuronium and rocuronium), and the time from NMBA administration to reversal agent administration. This study was granted exempt status by our Institutional Review Board.</w:t>
      </w:r>
    </w:p>
    <w:p w14:paraId="5096D518" w14:textId="77777777" w:rsidR="00077E56" w:rsidRDefault="00077E56" w:rsidP="00077E56">
      <w:pPr>
        <w:rPr>
          <w:rFonts w:ascii="Times New Roman" w:hAnsi="Times New Roman" w:cs="Times New Roman"/>
          <w:b/>
          <w:bCs/>
        </w:rPr>
      </w:pPr>
    </w:p>
    <w:p w14:paraId="4579DB5A" w14:textId="77777777" w:rsidR="00077E56" w:rsidRDefault="00077E56" w:rsidP="00077E56">
      <w:pPr>
        <w:rPr>
          <w:rFonts w:ascii="Times New Roman" w:hAnsi="Times New Roman" w:cs="Times New Roman"/>
          <w:b/>
          <w:bCs/>
        </w:rPr>
      </w:pPr>
      <w:r>
        <w:rPr>
          <w:rFonts w:ascii="Times New Roman" w:hAnsi="Times New Roman" w:cs="Times New Roman"/>
          <w:b/>
          <w:bCs/>
        </w:rPr>
        <w:t xml:space="preserve">Results: </w:t>
      </w:r>
      <w:r>
        <w:rPr>
          <w:rFonts w:ascii="Times New Roman" w:hAnsi="Times New Roman" w:cs="Times New Roman"/>
        </w:rPr>
        <w:t>142 patients were included in both the sugammadex and neostigmine/glycopyrrolate groups.</w:t>
      </w:r>
      <w:r>
        <w:t xml:space="preserve"> </w:t>
      </w:r>
      <w:r>
        <w:rPr>
          <w:rFonts w:ascii="Times New Roman" w:hAnsi="Times New Roman" w:cs="Times New Roman"/>
        </w:rPr>
        <w:t xml:space="preserve">Data analysis is ongoing and a full compilation of the results will be presented at the meeting. </w:t>
      </w:r>
    </w:p>
    <w:p w14:paraId="6EE0D92B" w14:textId="77777777" w:rsidR="00077E56" w:rsidRDefault="00077E56" w:rsidP="00077E56">
      <w:pPr>
        <w:rPr>
          <w:rFonts w:ascii="Times New Roman" w:hAnsi="Times New Roman" w:cs="Times New Roman"/>
          <w:b/>
          <w:bCs/>
        </w:rPr>
      </w:pPr>
    </w:p>
    <w:p w14:paraId="42F83FC8" w14:textId="48B3AA8E" w:rsidR="00077E56" w:rsidRDefault="00077E56" w:rsidP="00077E56">
      <w:pPr>
        <w:rPr>
          <w:rFonts w:ascii="Times New Roman" w:hAnsi="Times New Roman" w:cs="Times New Roman"/>
        </w:rPr>
      </w:pPr>
      <w:r>
        <w:rPr>
          <w:rFonts w:ascii="Times New Roman" w:hAnsi="Times New Roman" w:cs="Times New Roman"/>
          <w:b/>
          <w:bCs/>
        </w:rPr>
        <w:t xml:space="preserve">Conclusions: </w:t>
      </w:r>
      <w:r>
        <w:rPr>
          <w:rFonts w:ascii="Times New Roman" w:hAnsi="Times New Roman" w:cs="Times New Roman"/>
        </w:rPr>
        <w:t>Our conclusions will be based on the outcome of the analyzed data and will be presented at the Residency Research Practice Forum.</w:t>
      </w:r>
    </w:p>
    <w:p w14:paraId="2FA2EDB1" w14:textId="18856C8E" w:rsidR="00077E56" w:rsidRDefault="00077E56" w:rsidP="00077E56">
      <w:pPr>
        <w:rPr>
          <w:rFonts w:ascii="Times New Roman" w:hAnsi="Times New Roman" w:cs="Times New Roman"/>
        </w:rPr>
      </w:pPr>
    </w:p>
    <w:p w14:paraId="51A2417A" w14:textId="58B6C082" w:rsidR="00077E56" w:rsidRDefault="00077E56" w:rsidP="00077E56">
      <w:pPr>
        <w:rPr>
          <w:rFonts w:ascii="Times New Roman" w:hAnsi="Times New Roman" w:cs="Times New Roman"/>
        </w:rPr>
      </w:pPr>
    </w:p>
    <w:p w14:paraId="7604173C" w14:textId="15FC5B1A" w:rsidR="00077E56" w:rsidRDefault="00077E56" w:rsidP="00077E56">
      <w:pPr>
        <w:rPr>
          <w:rFonts w:ascii="Times New Roman" w:hAnsi="Times New Roman" w:cs="Times New Roman"/>
        </w:rPr>
      </w:pPr>
    </w:p>
    <w:p w14:paraId="0D3FA321" w14:textId="5D61E2AE" w:rsidR="00077E56" w:rsidRDefault="00077E56" w:rsidP="00077E56">
      <w:pPr>
        <w:rPr>
          <w:rFonts w:ascii="Times New Roman" w:hAnsi="Times New Roman" w:cs="Times New Roman"/>
        </w:rPr>
      </w:pPr>
    </w:p>
    <w:p w14:paraId="0F42282C" w14:textId="780BD63B" w:rsidR="00077E56" w:rsidRDefault="00077E56" w:rsidP="00077E56">
      <w:pPr>
        <w:rPr>
          <w:rFonts w:ascii="Times New Roman" w:hAnsi="Times New Roman" w:cs="Times New Roman"/>
        </w:rPr>
      </w:pPr>
    </w:p>
    <w:p w14:paraId="3A113F3F" w14:textId="77777777" w:rsidR="00077E56" w:rsidRDefault="00077E56" w:rsidP="00077E56">
      <w:pPr>
        <w:rPr>
          <w:rFonts w:ascii="Times New Roman" w:hAnsi="Times New Roman" w:cs="Times New Roman"/>
        </w:rPr>
      </w:pPr>
      <w:r>
        <w:rPr>
          <w:rFonts w:ascii="Times New Roman" w:hAnsi="Times New Roman" w:cs="Times New Roman"/>
        </w:rPr>
        <w:lastRenderedPageBreak/>
        <w:t>ANTICOAGULATION THERAPY IN ELDERLY PATIENTS WITH ATRIAL FIBRILLATION AT RISK FOR ACUTE ISCHEMIC STROKE</w:t>
      </w:r>
    </w:p>
    <w:p w14:paraId="42B42F13" w14:textId="77777777" w:rsidR="00077E56" w:rsidRDefault="00077E56" w:rsidP="00077E56">
      <w:pPr>
        <w:rPr>
          <w:rFonts w:ascii="Times New Roman" w:hAnsi="Times New Roman" w:cs="Times New Roman"/>
        </w:rPr>
      </w:pPr>
    </w:p>
    <w:p w14:paraId="157EC7EB" w14:textId="77777777" w:rsidR="00077E56" w:rsidRDefault="00077E56" w:rsidP="00077E56">
      <w:pPr>
        <w:rPr>
          <w:rFonts w:ascii="Times New Roman" w:hAnsi="Times New Roman" w:cs="Times New Roman"/>
        </w:rPr>
      </w:pPr>
      <w:r>
        <w:rPr>
          <w:rFonts w:ascii="Times New Roman" w:hAnsi="Times New Roman" w:cs="Times New Roman"/>
        </w:rPr>
        <w:t>Luke C*, Chilbert M, Clark C, Kandel A, Nadler M</w:t>
      </w:r>
    </w:p>
    <w:p w14:paraId="3BC837F2" w14:textId="77777777" w:rsidR="00077E56" w:rsidRDefault="00077E56" w:rsidP="00077E56">
      <w:pPr>
        <w:rPr>
          <w:rFonts w:ascii="Times New Roman" w:hAnsi="Times New Roman" w:cs="Times New Roman"/>
          <w:u w:val="single"/>
        </w:rPr>
      </w:pPr>
    </w:p>
    <w:p w14:paraId="0B1713E3" w14:textId="77777777" w:rsidR="00077E56" w:rsidRDefault="00077E56" w:rsidP="00077E56">
      <w:pPr>
        <w:rPr>
          <w:rFonts w:ascii="Times New Roman" w:hAnsi="Times New Roman" w:cs="Times New Roman"/>
        </w:rPr>
      </w:pPr>
      <w:r>
        <w:rPr>
          <w:rFonts w:ascii="Times New Roman" w:hAnsi="Times New Roman" w:cs="Times New Roman"/>
        </w:rPr>
        <w:t>Buffalo General Medical Center, 100 High Street, Buffalo, NY 14203</w:t>
      </w:r>
    </w:p>
    <w:p w14:paraId="0F629E32" w14:textId="77777777" w:rsidR="00077E56" w:rsidRDefault="00077E56" w:rsidP="00077E56">
      <w:pPr>
        <w:rPr>
          <w:rFonts w:ascii="Times New Roman" w:hAnsi="Times New Roman" w:cs="Times New Roman"/>
          <w:u w:val="single"/>
        </w:rPr>
      </w:pPr>
    </w:p>
    <w:p w14:paraId="555B9684" w14:textId="77777777" w:rsidR="00077E56" w:rsidRDefault="00077E56" w:rsidP="00077E56">
      <w:pPr>
        <w:rPr>
          <w:rFonts w:ascii="Times New Roman" w:hAnsi="Times New Roman" w:cs="Times New Roman"/>
          <w:b/>
          <w:bCs/>
        </w:rPr>
      </w:pPr>
      <w:r>
        <w:rPr>
          <w:rFonts w:ascii="Times New Roman" w:hAnsi="Times New Roman" w:cs="Times New Roman"/>
          <w:b/>
          <w:bCs/>
        </w:rPr>
        <w:t xml:space="preserve">Background: </w:t>
      </w:r>
      <w:r>
        <w:rPr>
          <w:rFonts w:ascii="Times New Roman" w:hAnsi="Times New Roman" w:cs="Times New Roman"/>
        </w:rPr>
        <w:t xml:space="preserve">Stroke related to atrial fibrillation has shown to be detrimental to patient quality of life. The risk of stroke due to atrial fibrillation is seen to double with each decade after the age of 55 with the incidence being as high as 23.5% in patients between the ages of 80-89 years. Current guidelines recommend and support the use of oral anticoagulation in patients at high risk of stroke with atrial fibrillation. Despite the proven benefits of oral anticoagulation in stroke prevention, studies have identified the gross underuse of anticoagulation in the elderly, even when more comorbidities were present. Impairments including fall risk, bleed risk, cognitive impairment, and frailty were common reasons cited as to why patients were not eligible for treatment. However, it has been shown that treatment still benefits patients who do fall and outcomes do not differ by impairment status. </w:t>
      </w:r>
    </w:p>
    <w:p w14:paraId="35AA2231" w14:textId="77777777" w:rsidR="00077E56" w:rsidRDefault="00077E56" w:rsidP="00077E56">
      <w:pPr>
        <w:rPr>
          <w:rFonts w:ascii="Times New Roman" w:hAnsi="Times New Roman" w:cs="Times New Roman"/>
        </w:rPr>
      </w:pPr>
    </w:p>
    <w:p w14:paraId="5AEE7C47" w14:textId="77777777" w:rsidR="00077E56" w:rsidRDefault="00077E56" w:rsidP="00077E56">
      <w:pPr>
        <w:rPr>
          <w:rFonts w:ascii="Times New Roman" w:hAnsi="Times New Roman" w:cs="Times New Roman"/>
        </w:rPr>
      </w:pPr>
      <w:r>
        <w:rPr>
          <w:rFonts w:ascii="Times New Roman" w:hAnsi="Times New Roman" w:cs="Times New Roman"/>
          <w:b/>
          <w:bCs/>
        </w:rPr>
        <w:t xml:space="preserve">Objective: </w:t>
      </w:r>
      <w:r>
        <w:rPr>
          <w:rFonts w:ascii="Times New Roman" w:hAnsi="Times New Roman" w:cs="Times New Roman"/>
        </w:rPr>
        <w:t>The primary objective was to determine if patients who were on anticoagulation prior to admission had a lower risk of stroke compared to those that were not on anticoagulation.</w:t>
      </w:r>
    </w:p>
    <w:p w14:paraId="0A229EC4" w14:textId="77777777" w:rsidR="00077E56" w:rsidRDefault="00077E56" w:rsidP="00077E56">
      <w:pPr>
        <w:rPr>
          <w:rFonts w:ascii="Times New Roman" w:hAnsi="Times New Roman" w:cs="Times New Roman"/>
        </w:rPr>
      </w:pPr>
    </w:p>
    <w:p w14:paraId="6D31790D" w14:textId="77777777" w:rsidR="00077E56" w:rsidRDefault="00077E56" w:rsidP="00077E56">
      <w:pPr>
        <w:rPr>
          <w:rFonts w:ascii="Times New Roman" w:hAnsi="Times New Roman" w:cs="Times New Roman"/>
        </w:rPr>
      </w:pPr>
      <w:r>
        <w:rPr>
          <w:rFonts w:ascii="Times New Roman" w:hAnsi="Times New Roman" w:cs="Times New Roman"/>
          <w:b/>
          <w:bCs/>
        </w:rPr>
        <w:t xml:space="preserve">Methods: </w:t>
      </w:r>
      <w:r>
        <w:rPr>
          <w:rFonts w:ascii="Times New Roman" w:hAnsi="Times New Roman" w:cs="Times New Roman"/>
        </w:rPr>
        <w:t xml:space="preserve">This was a retrospective, single-center, case-control study. The primary outcome was rate of stroke in those greater than or equal to 75 years of age with atrial fibrillation on anticoagulation versus those that were not. All research represented was approved by the University at Buffalo School of Pharmacy and Pharmaceutical Sciences’ institutional review board. </w:t>
      </w:r>
    </w:p>
    <w:p w14:paraId="1DFDDC3D" w14:textId="77777777" w:rsidR="00077E56" w:rsidRDefault="00077E56" w:rsidP="00077E56">
      <w:pPr>
        <w:rPr>
          <w:rFonts w:ascii="Times New Roman" w:hAnsi="Times New Roman" w:cs="Times New Roman"/>
        </w:rPr>
      </w:pPr>
    </w:p>
    <w:p w14:paraId="2EF6D505" w14:textId="77777777" w:rsidR="00077E56" w:rsidRDefault="00077E56" w:rsidP="00077E56">
      <w:pPr>
        <w:rPr>
          <w:rFonts w:ascii="Times New Roman" w:hAnsi="Times New Roman" w:cs="Times New Roman"/>
        </w:rPr>
      </w:pPr>
      <w:r>
        <w:rPr>
          <w:rFonts w:ascii="Times New Roman" w:hAnsi="Times New Roman" w:cs="Times New Roman"/>
          <w:b/>
          <w:bCs/>
        </w:rPr>
        <w:t xml:space="preserve">Results: </w:t>
      </w:r>
      <w:r>
        <w:rPr>
          <w:rFonts w:ascii="Times New Roman" w:hAnsi="Times New Roman" w:cs="Times New Roman"/>
        </w:rPr>
        <w:t xml:space="preserve">Data collection and analysis is ongoing. </w:t>
      </w:r>
    </w:p>
    <w:p w14:paraId="4E56F7E2" w14:textId="77777777" w:rsidR="00077E56" w:rsidRDefault="00077E56" w:rsidP="00077E56">
      <w:pPr>
        <w:rPr>
          <w:rFonts w:ascii="Times New Roman" w:hAnsi="Times New Roman" w:cs="Times New Roman"/>
        </w:rPr>
      </w:pPr>
    </w:p>
    <w:p w14:paraId="7970757C" w14:textId="77777777" w:rsidR="00077E56" w:rsidRDefault="00077E56" w:rsidP="00077E56">
      <w:pPr>
        <w:rPr>
          <w:rFonts w:ascii="Times New Roman" w:hAnsi="Times New Roman" w:cs="Times New Roman"/>
        </w:rPr>
      </w:pPr>
      <w:r>
        <w:rPr>
          <w:rFonts w:ascii="Times New Roman" w:hAnsi="Times New Roman" w:cs="Times New Roman"/>
          <w:b/>
          <w:bCs/>
        </w:rPr>
        <w:t xml:space="preserve">Conclusions: </w:t>
      </w:r>
      <w:r>
        <w:rPr>
          <w:rFonts w:ascii="Times New Roman" w:hAnsi="Times New Roman" w:cs="Times New Roman"/>
        </w:rPr>
        <w:t xml:space="preserve">Data collection and analysis is ongoing. </w:t>
      </w:r>
    </w:p>
    <w:p w14:paraId="792682C0" w14:textId="6A5814D3" w:rsidR="00077E56" w:rsidRDefault="00077E56" w:rsidP="00077E56">
      <w:pPr>
        <w:rPr>
          <w:rFonts w:ascii="Times New Roman" w:hAnsi="Times New Roman" w:cs="Times New Roman"/>
        </w:rPr>
      </w:pPr>
    </w:p>
    <w:p w14:paraId="5023C961" w14:textId="07F16934" w:rsidR="00077E56" w:rsidRDefault="00077E56" w:rsidP="00077E56">
      <w:pPr>
        <w:rPr>
          <w:rFonts w:ascii="Times New Roman" w:hAnsi="Times New Roman" w:cs="Times New Roman"/>
        </w:rPr>
      </w:pPr>
    </w:p>
    <w:p w14:paraId="535DB6FF" w14:textId="4D423CF0" w:rsidR="00077E56" w:rsidRDefault="00077E56" w:rsidP="00077E56">
      <w:pPr>
        <w:rPr>
          <w:rFonts w:ascii="Times New Roman" w:hAnsi="Times New Roman" w:cs="Times New Roman"/>
        </w:rPr>
      </w:pPr>
    </w:p>
    <w:p w14:paraId="01289709" w14:textId="0D36F190" w:rsidR="00077E56" w:rsidRDefault="00077E56" w:rsidP="00077E56">
      <w:pPr>
        <w:rPr>
          <w:rFonts w:ascii="Times New Roman" w:hAnsi="Times New Roman" w:cs="Times New Roman"/>
        </w:rPr>
      </w:pPr>
    </w:p>
    <w:p w14:paraId="0FDDEB1F" w14:textId="4F91C004" w:rsidR="00077E56" w:rsidRDefault="00077E56" w:rsidP="00077E56">
      <w:pPr>
        <w:rPr>
          <w:rFonts w:ascii="Times New Roman" w:hAnsi="Times New Roman" w:cs="Times New Roman"/>
        </w:rPr>
      </w:pPr>
    </w:p>
    <w:p w14:paraId="2580410B" w14:textId="444C0E39" w:rsidR="00077E56" w:rsidRDefault="00077E56" w:rsidP="00077E56">
      <w:pPr>
        <w:rPr>
          <w:rFonts w:ascii="Times New Roman" w:hAnsi="Times New Roman" w:cs="Times New Roman"/>
        </w:rPr>
      </w:pPr>
    </w:p>
    <w:p w14:paraId="34CA88A2" w14:textId="58E88637" w:rsidR="00077E56" w:rsidRDefault="00077E56" w:rsidP="00077E56">
      <w:pPr>
        <w:rPr>
          <w:rFonts w:ascii="Times New Roman" w:hAnsi="Times New Roman" w:cs="Times New Roman"/>
        </w:rPr>
      </w:pPr>
    </w:p>
    <w:p w14:paraId="6A88FD53" w14:textId="77777777" w:rsidR="00077E56" w:rsidRPr="00077E56" w:rsidRDefault="00077E56" w:rsidP="00077E56">
      <w:pPr>
        <w:spacing w:after="0" w:line="240" w:lineRule="auto"/>
        <w:rPr>
          <w:rFonts w:ascii="Times New Roman" w:hAnsi="Times New Roman" w:cs="Times New Roman"/>
        </w:rPr>
      </w:pPr>
      <w:r w:rsidRPr="00077E56">
        <w:rPr>
          <w:rFonts w:ascii="Times New Roman" w:hAnsi="Times New Roman" w:cs="Times New Roman"/>
        </w:rPr>
        <w:lastRenderedPageBreak/>
        <w:t>TIMING OF P2Y</w:t>
      </w:r>
      <w:r w:rsidRPr="00077E56">
        <w:rPr>
          <w:rFonts w:ascii="Times New Roman" w:hAnsi="Times New Roman" w:cs="Times New Roman"/>
          <w:vertAlign w:val="subscript"/>
        </w:rPr>
        <w:t>12</w:t>
      </w:r>
      <w:r w:rsidRPr="00077E56">
        <w:rPr>
          <w:rFonts w:ascii="Times New Roman" w:hAnsi="Times New Roman" w:cs="Times New Roman"/>
        </w:rPr>
        <w:t xml:space="preserve"> INHIBITORS IN NON-ST SEGMENT ELEVATION MYOCARDIAL INFARCTION (NSTEMI) AND DELAYED CARDIAC CATHERIZATION</w:t>
      </w:r>
    </w:p>
    <w:p w14:paraId="246B45E0" w14:textId="77777777" w:rsidR="00077E56" w:rsidRPr="00077E56" w:rsidRDefault="00077E56" w:rsidP="00077E56">
      <w:pPr>
        <w:spacing w:after="0" w:line="240" w:lineRule="auto"/>
        <w:rPr>
          <w:rFonts w:ascii="Times New Roman" w:hAnsi="Times New Roman" w:cs="Times New Roman"/>
        </w:rPr>
      </w:pPr>
    </w:p>
    <w:p w14:paraId="42646B5B" w14:textId="77777777" w:rsidR="00077E56" w:rsidRPr="00077E56" w:rsidRDefault="00077E56" w:rsidP="00077E56">
      <w:pPr>
        <w:spacing w:after="0" w:line="240" w:lineRule="auto"/>
        <w:rPr>
          <w:rFonts w:ascii="Times New Roman" w:hAnsi="Times New Roman" w:cs="Times New Roman"/>
        </w:rPr>
      </w:pPr>
      <w:r w:rsidRPr="00077E56">
        <w:rPr>
          <w:rFonts w:ascii="Times New Roman" w:hAnsi="Times New Roman" w:cs="Times New Roman"/>
        </w:rPr>
        <w:t xml:space="preserve">Lycouras MM*, Clark C, Mills K, Chilbert MR. </w:t>
      </w:r>
    </w:p>
    <w:p w14:paraId="217758C1" w14:textId="77777777" w:rsidR="00077E56" w:rsidRPr="00077E56" w:rsidRDefault="00077E56" w:rsidP="00077E56">
      <w:pPr>
        <w:spacing w:after="0" w:line="240" w:lineRule="auto"/>
        <w:rPr>
          <w:rFonts w:ascii="Times New Roman" w:hAnsi="Times New Roman" w:cs="Times New Roman"/>
        </w:rPr>
      </w:pPr>
    </w:p>
    <w:p w14:paraId="7A949DA8" w14:textId="77777777" w:rsidR="00077E56" w:rsidRPr="00077E56" w:rsidRDefault="00077E56" w:rsidP="00077E56">
      <w:pPr>
        <w:spacing w:after="0" w:line="240" w:lineRule="auto"/>
        <w:rPr>
          <w:rFonts w:ascii="Times New Roman" w:hAnsi="Times New Roman" w:cs="Times New Roman"/>
        </w:rPr>
      </w:pPr>
      <w:r w:rsidRPr="00077E56">
        <w:rPr>
          <w:rFonts w:ascii="Times New Roman" w:hAnsi="Times New Roman" w:cs="Times New Roman"/>
        </w:rPr>
        <w:t>Buffalo General Medical Center, 100 High Street, Buffalo NY 14203</w:t>
      </w:r>
    </w:p>
    <w:p w14:paraId="3271230E" w14:textId="77777777" w:rsidR="00077E56" w:rsidRPr="00077E56" w:rsidRDefault="00077E56" w:rsidP="00077E56">
      <w:pPr>
        <w:spacing w:after="0" w:line="240" w:lineRule="auto"/>
        <w:rPr>
          <w:rFonts w:ascii="Times New Roman" w:hAnsi="Times New Roman" w:cs="Times New Roman"/>
          <w:b/>
        </w:rPr>
      </w:pPr>
    </w:p>
    <w:p w14:paraId="395A8EA7" w14:textId="77777777" w:rsidR="00077E56" w:rsidRPr="00077E56" w:rsidRDefault="00077E56" w:rsidP="00077E56">
      <w:pPr>
        <w:spacing w:after="0" w:line="240" w:lineRule="auto"/>
        <w:rPr>
          <w:rFonts w:ascii="Times New Roman" w:hAnsi="Times New Roman" w:cs="Times New Roman"/>
          <w:b/>
        </w:rPr>
      </w:pPr>
      <w:r w:rsidRPr="00077E56">
        <w:rPr>
          <w:rFonts w:ascii="Times New Roman" w:hAnsi="Times New Roman" w:cs="Times New Roman"/>
          <w:b/>
        </w:rPr>
        <w:t xml:space="preserve">Background: </w:t>
      </w:r>
      <w:r w:rsidRPr="00077E56">
        <w:rPr>
          <w:rFonts w:ascii="Times New Roman" w:hAnsi="Times New Roman" w:cs="Times New Roman"/>
        </w:rPr>
        <w:t>Patients who present with NSTEMI should receive a P2Y</w:t>
      </w:r>
      <w:r w:rsidRPr="00077E56">
        <w:rPr>
          <w:rFonts w:ascii="Times New Roman" w:hAnsi="Times New Roman" w:cs="Times New Roman"/>
          <w:vertAlign w:val="subscript"/>
        </w:rPr>
        <w:t>12</w:t>
      </w:r>
      <w:r w:rsidRPr="00077E56">
        <w:rPr>
          <w:rFonts w:ascii="Times New Roman" w:hAnsi="Times New Roman" w:cs="Times New Roman"/>
        </w:rPr>
        <w:t xml:space="preserve"> inhibitor regardless of the treatment strategy. Patients can be pre-treated with a P2Y</w:t>
      </w:r>
      <w:r w:rsidRPr="00077E56">
        <w:rPr>
          <w:rFonts w:ascii="Times New Roman" w:hAnsi="Times New Roman" w:cs="Times New Roman"/>
          <w:vertAlign w:val="subscript"/>
        </w:rPr>
        <w:t>12</w:t>
      </w:r>
      <w:r w:rsidRPr="00077E56">
        <w:rPr>
          <w:rFonts w:ascii="Times New Roman" w:hAnsi="Times New Roman" w:cs="Times New Roman"/>
        </w:rPr>
        <w:t xml:space="preserve"> inhibitor which occurs prior to cardiac catherization, or receive late administration during cardiac catherization. Pre-treatment with a P2Y</w:t>
      </w:r>
      <w:r w:rsidRPr="00077E56">
        <w:rPr>
          <w:rFonts w:ascii="Times New Roman" w:hAnsi="Times New Roman" w:cs="Times New Roman"/>
          <w:vertAlign w:val="subscript"/>
        </w:rPr>
        <w:t>12</w:t>
      </w:r>
      <w:r w:rsidRPr="00077E56">
        <w:rPr>
          <w:rFonts w:ascii="Times New Roman" w:hAnsi="Times New Roman" w:cs="Times New Roman"/>
        </w:rPr>
        <w:t xml:space="preserve"> inhibitor may lead to reduce peri-procedural thrombotic complications, reduce ischemic, stent thrombosis, and limit glycoprotein IIb/IIIa use. Pre-treatment may increase the risk of bleeding in patients undergoing invasive interventions, and are often contraindicated 5-7 days prior to coronary artery bypass grafting procedures. Pharmacokinetically, late administration of P2Y</w:t>
      </w:r>
      <w:r w:rsidRPr="00077E56">
        <w:rPr>
          <w:rFonts w:ascii="Times New Roman" w:hAnsi="Times New Roman" w:cs="Times New Roman"/>
          <w:vertAlign w:val="subscript"/>
        </w:rPr>
        <w:t>12</w:t>
      </w:r>
      <w:r w:rsidRPr="00077E56">
        <w:rPr>
          <w:rFonts w:ascii="Times New Roman" w:hAnsi="Times New Roman" w:cs="Times New Roman"/>
        </w:rPr>
        <w:t xml:space="preserve"> inhibitors may not allow for adequate platelet inhibition. The ideal timing of P2Y</w:t>
      </w:r>
      <w:r w:rsidRPr="00077E56">
        <w:rPr>
          <w:rFonts w:ascii="Times New Roman" w:hAnsi="Times New Roman" w:cs="Times New Roman"/>
          <w:vertAlign w:val="subscript"/>
        </w:rPr>
        <w:t>12</w:t>
      </w:r>
      <w:r w:rsidRPr="00077E56">
        <w:rPr>
          <w:rFonts w:ascii="Times New Roman" w:hAnsi="Times New Roman" w:cs="Times New Roman"/>
        </w:rPr>
        <w:t xml:space="preserve"> inhibitors remains controversial in patients presenting with NSTEMI who undergo delayed cardiac catherization (&gt; 24 hours from initial presentation). </w:t>
      </w:r>
    </w:p>
    <w:p w14:paraId="621F69D8" w14:textId="77777777" w:rsidR="00077E56" w:rsidRPr="00077E56" w:rsidRDefault="00077E56" w:rsidP="00077E56">
      <w:pPr>
        <w:spacing w:after="0" w:line="240" w:lineRule="auto"/>
        <w:rPr>
          <w:rFonts w:ascii="Times New Roman" w:hAnsi="Times New Roman" w:cs="Times New Roman"/>
          <w:b/>
        </w:rPr>
      </w:pPr>
    </w:p>
    <w:p w14:paraId="6A2C60C1" w14:textId="77777777" w:rsidR="00077E56" w:rsidRPr="00077E56" w:rsidRDefault="00077E56" w:rsidP="00077E56">
      <w:pPr>
        <w:spacing w:after="0" w:line="240" w:lineRule="auto"/>
        <w:rPr>
          <w:rFonts w:ascii="Times New Roman" w:hAnsi="Times New Roman" w:cs="Times New Roman"/>
        </w:rPr>
      </w:pPr>
      <w:r w:rsidRPr="00077E56">
        <w:rPr>
          <w:rFonts w:ascii="Times New Roman" w:hAnsi="Times New Roman" w:cs="Times New Roman"/>
          <w:b/>
        </w:rPr>
        <w:t xml:space="preserve">Objective: </w:t>
      </w:r>
      <w:r w:rsidRPr="00077E56">
        <w:rPr>
          <w:rFonts w:ascii="Times New Roman" w:hAnsi="Times New Roman" w:cs="Times New Roman"/>
        </w:rPr>
        <w:t xml:space="preserve">The objective of this study was to determine the safety and effectiveness of early versus late administration of P2Y12 inhibitors in patients presenting with an NSTEMI who do not go to the cardiac catherization lab within 24 hours from initial presentation. The primary outcome is bleeding events as defined by the ISTH-SCC. Secondary endpoints include troponin peak, change in ejection fraction from baseline to after cardiac catherization, and length of stay post catherization. </w:t>
      </w:r>
    </w:p>
    <w:p w14:paraId="4388AB6C" w14:textId="77777777" w:rsidR="00077E56" w:rsidRPr="00077E56" w:rsidRDefault="00077E56" w:rsidP="00077E56">
      <w:pPr>
        <w:spacing w:after="0" w:line="240" w:lineRule="auto"/>
        <w:rPr>
          <w:rFonts w:ascii="Times New Roman" w:hAnsi="Times New Roman" w:cs="Times New Roman"/>
          <w:b/>
        </w:rPr>
      </w:pPr>
    </w:p>
    <w:p w14:paraId="6D2529DF" w14:textId="77777777" w:rsidR="00077E56" w:rsidRPr="00077E56" w:rsidRDefault="00077E56" w:rsidP="00077E56">
      <w:pPr>
        <w:spacing w:after="0" w:line="240" w:lineRule="auto"/>
        <w:rPr>
          <w:rFonts w:ascii="Times New Roman" w:hAnsi="Times New Roman" w:cs="Times New Roman"/>
        </w:rPr>
      </w:pPr>
      <w:r w:rsidRPr="00077E56">
        <w:rPr>
          <w:rFonts w:ascii="Times New Roman" w:hAnsi="Times New Roman" w:cs="Times New Roman"/>
          <w:b/>
        </w:rPr>
        <w:t xml:space="preserve">Methods: </w:t>
      </w:r>
      <w:r w:rsidRPr="00077E56">
        <w:rPr>
          <w:rFonts w:ascii="Times New Roman" w:hAnsi="Times New Roman" w:cs="Times New Roman"/>
        </w:rPr>
        <w:t>This was a retrospective chart review study at Kaleida Health facilities. Patients were included if they were 18 years of age or older and had an NSTEMI, went to the cardiac catherization lab &gt; 24 hours from initial presentation, received a percutaneous coronary intervention or coronary artery bypass grafting, and received a P2Y</w:t>
      </w:r>
      <w:r w:rsidRPr="00077E56">
        <w:rPr>
          <w:rFonts w:ascii="Times New Roman" w:hAnsi="Times New Roman" w:cs="Times New Roman"/>
          <w:vertAlign w:val="subscript"/>
        </w:rPr>
        <w:t>12</w:t>
      </w:r>
      <w:r w:rsidRPr="00077E56">
        <w:rPr>
          <w:rFonts w:ascii="Times New Roman" w:hAnsi="Times New Roman" w:cs="Times New Roman"/>
        </w:rPr>
        <w:t xml:space="preserve"> inhibitor. </w:t>
      </w:r>
    </w:p>
    <w:p w14:paraId="45C42F78" w14:textId="77777777" w:rsidR="00077E56" w:rsidRPr="00077E56" w:rsidRDefault="00077E56" w:rsidP="00077E56">
      <w:pPr>
        <w:spacing w:after="0" w:line="240" w:lineRule="auto"/>
        <w:rPr>
          <w:rFonts w:ascii="Times New Roman" w:hAnsi="Times New Roman" w:cs="Times New Roman"/>
          <w:b/>
        </w:rPr>
      </w:pPr>
    </w:p>
    <w:p w14:paraId="125DF852" w14:textId="77777777" w:rsidR="00077E56" w:rsidRPr="00077E56" w:rsidRDefault="00077E56" w:rsidP="00077E56">
      <w:pPr>
        <w:spacing w:after="0" w:line="240" w:lineRule="auto"/>
        <w:rPr>
          <w:rFonts w:ascii="Times New Roman" w:hAnsi="Times New Roman" w:cs="Times New Roman"/>
        </w:rPr>
      </w:pPr>
      <w:r w:rsidRPr="00077E56">
        <w:rPr>
          <w:rFonts w:ascii="Times New Roman" w:hAnsi="Times New Roman" w:cs="Times New Roman"/>
          <w:b/>
        </w:rPr>
        <w:t>Results:</w:t>
      </w:r>
      <w:r w:rsidRPr="00077E56">
        <w:rPr>
          <w:rFonts w:ascii="Times New Roman" w:hAnsi="Times New Roman" w:cs="Times New Roman"/>
        </w:rPr>
        <w:t xml:space="preserve"> Data collection and analysis is ongoing. </w:t>
      </w:r>
    </w:p>
    <w:p w14:paraId="3A0C2094" w14:textId="77777777" w:rsidR="00077E56" w:rsidRPr="00077E56" w:rsidRDefault="00077E56" w:rsidP="00077E56">
      <w:pPr>
        <w:spacing w:after="0" w:line="240" w:lineRule="auto"/>
        <w:rPr>
          <w:rFonts w:ascii="Times New Roman" w:hAnsi="Times New Roman" w:cs="Times New Roman"/>
          <w:b/>
        </w:rPr>
      </w:pPr>
    </w:p>
    <w:p w14:paraId="7E4AAFD8" w14:textId="77777777" w:rsidR="00077E56" w:rsidRPr="00077E56" w:rsidRDefault="00077E56" w:rsidP="00077E56">
      <w:pPr>
        <w:spacing w:after="0" w:line="240" w:lineRule="auto"/>
        <w:rPr>
          <w:rFonts w:ascii="Times New Roman" w:hAnsi="Times New Roman" w:cs="Times New Roman"/>
        </w:rPr>
      </w:pPr>
      <w:r w:rsidRPr="00077E56">
        <w:rPr>
          <w:rFonts w:ascii="Times New Roman" w:hAnsi="Times New Roman" w:cs="Times New Roman"/>
          <w:b/>
        </w:rPr>
        <w:t xml:space="preserve">Conclusions: </w:t>
      </w:r>
      <w:r w:rsidRPr="00077E56">
        <w:rPr>
          <w:rFonts w:ascii="Times New Roman" w:hAnsi="Times New Roman" w:cs="Times New Roman"/>
        </w:rPr>
        <w:t xml:space="preserve">Data collection and analysis is ongoing. </w:t>
      </w:r>
    </w:p>
    <w:p w14:paraId="6B71E43D" w14:textId="66B30BD4" w:rsidR="00077E56" w:rsidRDefault="00077E56" w:rsidP="00077E56">
      <w:pPr>
        <w:rPr>
          <w:rFonts w:ascii="Times New Roman" w:hAnsi="Times New Roman" w:cs="Times New Roman"/>
        </w:rPr>
      </w:pPr>
    </w:p>
    <w:p w14:paraId="7DD9B348" w14:textId="23BFC73F" w:rsidR="00077E56" w:rsidRDefault="00077E56" w:rsidP="00077E56">
      <w:pPr>
        <w:rPr>
          <w:rFonts w:ascii="Times New Roman" w:hAnsi="Times New Roman" w:cs="Times New Roman"/>
        </w:rPr>
      </w:pPr>
    </w:p>
    <w:p w14:paraId="0F4B798E" w14:textId="5D8302DE" w:rsidR="00077E56" w:rsidRDefault="00077E56" w:rsidP="00077E56">
      <w:pPr>
        <w:rPr>
          <w:rFonts w:ascii="Times New Roman" w:hAnsi="Times New Roman" w:cs="Times New Roman"/>
        </w:rPr>
      </w:pPr>
    </w:p>
    <w:p w14:paraId="0611E707" w14:textId="77D8ABFD" w:rsidR="00077E56" w:rsidRDefault="00077E56" w:rsidP="00077E56">
      <w:pPr>
        <w:rPr>
          <w:rFonts w:ascii="Times New Roman" w:hAnsi="Times New Roman" w:cs="Times New Roman"/>
        </w:rPr>
      </w:pPr>
    </w:p>
    <w:p w14:paraId="4E4B0ECE" w14:textId="3083E574" w:rsidR="00077E56" w:rsidRDefault="00077E56" w:rsidP="00077E56">
      <w:pPr>
        <w:rPr>
          <w:rFonts w:ascii="Times New Roman" w:hAnsi="Times New Roman" w:cs="Times New Roman"/>
        </w:rPr>
      </w:pPr>
    </w:p>
    <w:p w14:paraId="4F066D34" w14:textId="44984A78" w:rsidR="00077E56" w:rsidRDefault="00077E56" w:rsidP="00077E56">
      <w:pPr>
        <w:rPr>
          <w:rFonts w:ascii="Times New Roman" w:hAnsi="Times New Roman" w:cs="Times New Roman"/>
        </w:rPr>
      </w:pPr>
    </w:p>
    <w:p w14:paraId="216DAA9F" w14:textId="0737651D" w:rsidR="00077E56" w:rsidRDefault="00077E56" w:rsidP="00077E56">
      <w:pPr>
        <w:rPr>
          <w:rFonts w:ascii="Times New Roman" w:hAnsi="Times New Roman" w:cs="Times New Roman"/>
        </w:rPr>
      </w:pPr>
    </w:p>
    <w:p w14:paraId="732ECAB8" w14:textId="6523F618" w:rsidR="00077E56" w:rsidRDefault="00077E56" w:rsidP="00077E56">
      <w:pPr>
        <w:rPr>
          <w:rFonts w:ascii="Times New Roman" w:hAnsi="Times New Roman" w:cs="Times New Roman"/>
        </w:rPr>
      </w:pPr>
    </w:p>
    <w:p w14:paraId="2FA4DD4C" w14:textId="62CA79A2" w:rsidR="00077E56" w:rsidRDefault="00077E56" w:rsidP="00077E56">
      <w:pPr>
        <w:rPr>
          <w:rFonts w:ascii="Times New Roman" w:hAnsi="Times New Roman" w:cs="Times New Roman"/>
        </w:rPr>
      </w:pPr>
    </w:p>
    <w:p w14:paraId="0CA93191" w14:textId="51DF48DD" w:rsidR="00077E56" w:rsidRDefault="00077E56" w:rsidP="00077E56">
      <w:pPr>
        <w:rPr>
          <w:rFonts w:ascii="Times New Roman" w:hAnsi="Times New Roman" w:cs="Times New Roman"/>
        </w:rPr>
      </w:pPr>
    </w:p>
    <w:p w14:paraId="7DFB212B" w14:textId="26347B7D" w:rsidR="00077E56" w:rsidRDefault="00077E56" w:rsidP="00077E56">
      <w:pPr>
        <w:rPr>
          <w:rFonts w:ascii="Times New Roman" w:hAnsi="Times New Roman" w:cs="Times New Roman"/>
        </w:rPr>
      </w:pPr>
    </w:p>
    <w:p w14:paraId="46723078" w14:textId="25BA3F11" w:rsidR="00077E56" w:rsidRDefault="00077E56" w:rsidP="00077E56">
      <w:pPr>
        <w:rPr>
          <w:rFonts w:ascii="Times New Roman" w:hAnsi="Times New Roman" w:cs="Times New Roman"/>
        </w:rPr>
      </w:pPr>
    </w:p>
    <w:p w14:paraId="1294777F" w14:textId="77777777" w:rsidR="00077E56" w:rsidRDefault="00077E56" w:rsidP="00077E56">
      <w:pPr>
        <w:rPr>
          <w:rFonts w:ascii="Times New Roman" w:hAnsi="Times New Roman" w:cs="Times New Roman"/>
          <w:sz w:val="24"/>
          <w:szCs w:val="24"/>
        </w:rPr>
      </w:pPr>
      <w:r>
        <w:rPr>
          <w:rFonts w:ascii="Times New Roman" w:hAnsi="Times New Roman" w:cs="Times New Roman"/>
          <w:sz w:val="24"/>
          <w:szCs w:val="24"/>
        </w:rPr>
        <w:lastRenderedPageBreak/>
        <w:t>CHARACTERIZING THE USE OF ANTICOAGULANTS IN PERIPHERAL ARTERY DISEASE</w:t>
      </w:r>
    </w:p>
    <w:p w14:paraId="64B8F9D5" w14:textId="77777777" w:rsidR="00077E56" w:rsidRDefault="00077E56" w:rsidP="00077E56">
      <w:pPr>
        <w:rPr>
          <w:rFonts w:ascii="Times New Roman" w:hAnsi="Times New Roman" w:cs="Times New Roman"/>
          <w:sz w:val="24"/>
          <w:szCs w:val="24"/>
          <w:u w:val="single"/>
        </w:rPr>
      </w:pPr>
      <w:r>
        <w:rPr>
          <w:rFonts w:ascii="Times New Roman" w:hAnsi="Times New Roman" w:cs="Times New Roman"/>
          <w:sz w:val="24"/>
          <w:szCs w:val="24"/>
          <w:u w:val="single"/>
        </w:rPr>
        <w:t>Maddock K*</w:t>
      </w:r>
      <w:r>
        <w:rPr>
          <w:rFonts w:ascii="Times New Roman" w:hAnsi="Times New Roman" w:cs="Times New Roman"/>
          <w:sz w:val="24"/>
          <w:szCs w:val="24"/>
        </w:rPr>
        <w:t xml:space="preserve">, </w:t>
      </w:r>
      <w:r>
        <w:rPr>
          <w:rFonts w:ascii="Times New Roman" w:hAnsi="Times New Roman" w:cs="Times New Roman"/>
          <w:sz w:val="24"/>
          <w:szCs w:val="24"/>
          <w:u w:val="single"/>
        </w:rPr>
        <w:t>Studlack E</w:t>
      </w:r>
      <w:r>
        <w:rPr>
          <w:rFonts w:ascii="Times New Roman" w:hAnsi="Times New Roman" w:cs="Times New Roman"/>
          <w:sz w:val="24"/>
          <w:szCs w:val="24"/>
        </w:rPr>
        <w:t xml:space="preserve">, </w:t>
      </w:r>
      <w:r>
        <w:rPr>
          <w:rFonts w:ascii="Times New Roman" w:hAnsi="Times New Roman" w:cs="Times New Roman"/>
          <w:sz w:val="24"/>
          <w:szCs w:val="24"/>
          <w:u w:val="single"/>
        </w:rPr>
        <w:t>Gargala E</w:t>
      </w:r>
    </w:p>
    <w:p w14:paraId="27555126" w14:textId="77777777" w:rsidR="00077E56" w:rsidRDefault="00077E56" w:rsidP="00077E56">
      <w:pPr>
        <w:rPr>
          <w:rFonts w:ascii="Times New Roman" w:hAnsi="Times New Roman" w:cs="Times New Roman"/>
          <w:sz w:val="24"/>
          <w:szCs w:val="24"/>
        </w:rPr>
      </w:pPr>
      <w:r>
        <w:rPr>
          <w:rFonts w:ascii="Times New Roman" w:hAnsi="Times New Roman" w:cs="Times New Roman"/>
          <w:sz w:val="24"/>
          <w:szCs w:val="24"/>
        </w:rPr>
        <w:t>Mercy Hospital of Buffalo, 565 Abbott Rd, Buffalo, NY 14220</w:t>
      </w:r>
    </w:p>
    <w:p w14:paraId="0F16E072" w14:textId="77777777" w:rsidR="00077E56" w:rsidRDefault="00077E56" w:rsidP="00077E56">
      <w:pPr>
        <w:rPr>
          <w:rFonts w:ascii="Times New Roman" w:hAnsi="Times New Roman" w:cs="Times New Roman"/>
          <w:sz w:val="24"/>
          <w:szCs w:val="24"/>
        </w:rPr>
      </w:pPr>
    </w:p>
    <w:p w14:paraId="7BAD2D62" w14:textId="77777777" w:rsidR="00077E56" w:rsidRDefault="00077E56" w:rsidP="00077E56">
      <w:pPr>
        <w:spacing w:line="240" w:lineRule="auto"/>
        <w:rPr>
          <w:rFonts w:ascii="Times New Roman" w:hAnsi="Times New Roman" w:cs="Times New Roman"/>
          <w:sz w:val="24"/>
          <w:szCs w:val="24"/>
        </w:rPr>
      </w:pPr>
      <w:r>
        <w:rPr>
          <w:rFonts w:ascii="Times New Roman" w:hAnsi="Times New Roman" w:cs="Times New Roman"/>
          <w:b/>
          <w:sz w:val="24"/>
          <w:szCs w:val="24"/>
        </w:rPr>
        <w:t>Background</w:t>
      </w:r>
      <w:r>
        <w:rPr>
          <w:rFonts w:ascii="Times New Roman" w:hAnsi="Times New Roman" w:cs="Times New Roman"/>
          <w:sz w:val="24"/>
          <w:szCs w:val="24"/>
        </w:rPr>
        <w:t>: There is currently limited guidance on the use of anticoagulation in patients with peripheral artery disease (PAD). Following the COMPASS-PAD trial, the anti-Xa inhibitor rivaroxaban was FDA approved for use in patients with chronic PAD for reduction of major cardiovascular events. The purpose of this study was to characterize the different anticoagulation regimens that are used to treat PAD and to identify major adverse effects associated with them.</w:t>
      </w:r>
    </w:p>
    <w:p w14:paraId="3DB2FCBE" w14:textId="77777777" w:rsidR="00077E56" w:rsidRDefault="00077E56" w:rsidP="00077E56">
      <w:pPr>
        <w:spacing w:line="240" w:lineRule="auto"/>
        <w:rPr>
          <w:rFonts w:ascii="Times New Roman" w:hAnsi="Times New Roman" w:cs="Times New Roman"/>
          <w:sz w:val="24"/>
          <w:szCs w:val="24"/>
        </w:rPr>
      </w:pPr>
      <w:r>
        <w:rPr>
          <w:rFonts w:ascii="Times New Roman" w:hAnsi="Times New Roman" w:cs="Times New Roman"/>
          <w:b/>
          <w:sz w:val="24"/>
          <w:szCs w:val="24"/>
        </w:rPr>
        <w:t>Objectives</w:t>
      </w:r>
      <w:r>
        <w:rPr>
          <w:rFonts w:ascii="Times New Roman" w:hAnsi="Times New Roman" w:cs="Times New Roman"/>
          <w:sz w:val="24"/>
          <w:szCs w:val="24"/>
        </w:rPr>
        <w:t>: The primary outcome was the presence of ISTH clinically relevant major or non-major bleeding. Secondary outcomes included the presence of major adverse cardiovascular outcomes such as stroke or acute coronary syndrome as well as adverse limb events such as amputation or revascularization.</w:t>
      </w:r>
    </w:p>
    <w:p w14:paraId="1696CD7B" w14:textId="77777777" w:rsidR="00077E56" w:rsidRDefault="00077E56" w:rsidP="00077E56">
      <w:pPr>
        <w:spacing w:line="240" w:lineRule="auto"/>
        <w:rPr>
          <w:rFonts w:ascii="Times New Roman" w:hAnsi="Times New Roman" w:cs="Times New Roman"/>
          <w:sz w:val="24"/>
          <w:szCs w:val="24"/>
        </w:rPr>
      </w:pPr>
      <w:r>
        <w:rPr>
          <w:rFonts w:ascii="Times New Roman" w:hAnsi="Times New Roman" w:cs="Times New Roman"/>
          <w:b/>
          <w:sz w:val="24"/>
          <w:szCs w:val="24"/>
        </w:rPr>
        <w:t>Methods</w:t>
      </w:r>
      <w:r>
        <w:rPr>
          <w:rFonts w:ascii="Times New Roman" w:hAnsi="Times New Roman" w:cs="Times New Roman"/>
          <w:sz w:val="24"/>
          <w:szCs w:val="24"/>
        </w:rPr>
        <w:t>: This was a multicenter, retrospective, medication use evaluation for all patients prescribed oral anticoagulants by a vascular provider from two hospitals in the health-system from January 1, 2018 through December 31, 2019.</w:t>
      </w:r>
    </w:p>
    <w:p w14:paraId="3255B3F6" w14:textId="77777777" w:rsidR="00077E56" w:rsidRDefault="00077E56" w:rsidP="00077E56">
      <w:pPr>
        <w:spacing w:line="240" w:lineRule="auto"/>
        <w:rPr>
          <w:rFonts w:ascii="Times New Roman" w:hAnsi="Times New Roman" w:cs="Times New Roman"/>
          <w:sz w:val="24"/>
          <w:szCs w:val="24"/>
        </w:rPr>
      </w:pPr>
      <w:r>
        <w:rPr>
          <w:rFonts w:ascii="Times New Roman" w:hAnsi="Times New Roman" w:cs="Times New Roman"/>
          <w:b/>
          <w:sz w:val="24"/>
          <w:szCs w:val="24"/>
        </w:rPr>
        <w:t>Results</w:t>
      </w:r>
      <w:r>
        <w:rPr>
          <w:rFonts w:ascii="Times New Roman" w:hAnsi="Times New Roman" w:cs="Times New Roman"/>
          <w:sz w:val="24"/>
          <w:szCs w:val="24"/>
        </w:rPr>
        <w:t>: After exclusions, 52 patients were included in the final analysis. The most common anticoagulant regimen prescribed was apixaban 5 mg twice daily in 69% (36/52) of the patients. The regimen of rivaroxaban 2.5 mg twice daily was prescribed in only one of the patients analyzed. There was no significant difference between any of the regimens in the primary outcome (p=0.28) or the secondary outcomes (p=0.51).</w:t>
      </w:r>
    </w:p>
    <w:p w14:paraId="1CE5BAC3" w14:textId="77777777" w:rsidR="00077E56" w:rsidRDefault="00077E56" w:rsidP="00077E56">
      <w:pPr>
        <w:spacing w:line="240" w:lineRule="auto"/>
        <w:rPr>
          <w:rFonts w:ascii="Times New Roman" w:hAnsi="Times New Roman" w:cs="Times New Roman"/>
          <w:sz w:val="24"/>
          <w:szCs w:val="24"/>
        </w:rPr>
      </w:pPr>
      <w:r>
        <w:rPr>
          <w:rFonts w:ascii="Times New Roman" w:hAnsi="Times New Roman" w:cs="Times New Roman"/>
          <w:b/>
          <w:sz w:val="24"/>
          <w:szCs w:val="24"/>
        </w:rPr>
        <w:t>Conclusions</w:t>
      </w:r>
      <w:r>
        <w:rPr>
          <w:rFonts w:ascii="Times New Roman" w:hAnsi="Times New Roman" w:cs="Times New Roman"/>
          <w:sz w:val="24"/>
          <w:szCs w:val="24"/>
        </w:rPr>
        <w:t xml:space="preserve">: The approved regimen of rivaroxaban 2.5 mg twice daily was the least common anticoagulant regimen prescribed. Although there was no significant difference in the outcomes between groups, education needs to be provided about the existence the approved regimen. </w:t>
      </w:r>
    </w:p>
    <w:p w14:paraId="75122FFC" w14:textId="343A8EE0" w:rsidR="00077E56" w:rsidRDefault="00077E56" w:rsidP="00077E56">
      <w:pPr>
        <w:rPr>
          <w:rFonts w:ascii="Times New Roman" w:hAnsi="Times New Roman" w:cs="Times New Roman"/>
        </w:rPr>
      </w:pPr>
    </w:p>
    <w:p w14:paraId="4587FE84" w14:textId="0D3BF150" w:rsidR="00077E56" w:rsidRDefault="00077E56" w:rsidP="00077E56">
      <w:pPr>
        <w:rPr>
          <w:rFonts w:ascii="Times New Roman" w:hAnsi="Times New Roman" w:cs="Times New Roman"/>
        </w:rPr>
      </w:pPr>
    </w:p>
    <w:p w14:paraId="4FA537FE" w14:textId="1061F261" w:rsidR="00077E56" w:rsidRDefault="00077E56" w:rsidP="00077E56">
      <w:pPr>
        <w:rPr>
          <w:rFonts w:ascii="Times New Roman" w:hAnsi="Times New Roman" w:cs="Times New Roman"/>
        </w:rPr>
      </w:pPr>
    </w:p>
    <w:p w14:paraId="189C2452" w14:textId="392A104B" w:rsidR="00077E56" w:rsidRDefault="00077E56" w:rsidP="00077E56">
      <w:pPr>
        <w:rPr>
          <w:rFonts w:ascii="Times New Roman" w:hAnsi="Times New Roman" w:cs="Times New Roman"/>
        </w:rPr>
      </w:pPr>
    </w:p>
    <w:p w14:paraId="1DBFD10F" w14:textId="62C3EEAF" w:rsidR="00077E56" w:rsidRDefault="00077E56" w:rsidP="00077E56">
      <w:pPr>
        <w:rPr>
          <w:rFonts w:ascii="Times New Roman" w:hAnsi="Times New Roman" w:cs="Times New Roman"/>
        </w:rPr>
      </w:pPr>
    </w:p>
    <w:p w14:paraId="11A89F4C" w14:textId="0CF3D36C" w:rsidR="00077E56" w:rsidRDefault="00077E56" w:rsidP="00077E56">
      <w:pPr>
        <w:rPr>
          <w:rFonts w:ascii="Times New Roman" w:hAnsi="Times New Roman" w:cs="Times New Roman"/>
        </w:rPr>
      </w:pPr>
    </w:p>
    <w:p w14:paraId="01027B2E" w14:textId="573C35E1" w:rsidR="00077E56" w:rsidRDefault="00077E56" w:rsidP="00077E56">
      <w:pPr>
        <w:rPr>
          <w:rFonts w:ascii="Times New Roman" w:hAnsi="Times New Roman" w:cs="Times New Roman"/>
        </w:rPr>
      </w:pPr>
    </w:p>
    <w:p w14:paraId="3BEBCBFC" w14:textId="5FFD6048" w:rsidR="00077E56" w:rsidRDefault="00077E56" w:rsidP="00077E56">
      <w:pPr>
        <w:rPr>
          <w:rFonts w:ascii="Times New Roman" w:hAnsi="Times New Roman" w:cs="Times New Roman"/>
        </w:rPr>
      </w:pPr>
    </w:p>
    <w:p w14:paraId="16638CEA" w14:textId="0421AFEC" w:rsidR="00077E56" w:rsidRDefault="00077E56" w:rsidP="00077E56">
      <w:pPr>
        <w:rPr>
          <w:rFonts w:ascii="Times New Roman" w:hAnsi="Times New Roman" w:cs="Times New Roman"/>
        </w:rPr>
      </w:pPr>
    </w:p>
    <w:p w14:paraId="6DD2C7CA" w14:textId="4A4785F2" w:rsidR="00077E56" w:rsidRDefault="00077E56" w:rsidP="00077E56">
      <w:pPr>
        <w:rPr>
          <w:rFonts w:ascii="Times New Roman" w:hAnsi="Times New Roman" w:cs="Times New Roman"/>
        </w:rPr>
      </w:pPr>
    </w:p>
    <w:p w14:paraId="493FED54" w14:textId="77777777" w:rsidR="00077E56" w:rsidRPr="00077E56" w:rsidRDefault="00077E56" w:rsidP="00077E56">
      <w:pPr>
        <w:rPr>
          <w:rFonts w:ascii="Times New Roman" w:hAnsi="Times New Roman" w:cs="Times New Roman"/>
        </w:rPr>
      </w:pPr>
      <w:r w:rsidRPr="00077E56">
        <w:rPr>
          <w:rFonts w:ascii="Times New Roman" w:hAnsi="Times New Roman" w:cs="Times New Roman"/>
        </w:rPr>
        <w:lastRenderedPageBreak/>
        <w:t>INCREASE RATE OF ADMINISTRATION OF HIGH-DOSE INTRAVENOUS THIAMINE IN HOSPITALIZED PATIENTS WITH ALCOHOL USE DISORDER</w:t>
      </w:r>
    </w:p>
    <w:p w14:paraId="348080F7" w14:textId="77777777" w:rsidR="00077E56" w:rsidRPr="00077E56" w:rsidRDefault="00077E56" w:rsidP="00077E56">
      <w:pPr>
        <w:rPr>
          <w:rFonts w:ascii="Times New Roman" w:hAnsi="Times New Roman" w:cs="Times New Roman"/>
          <w:u w:val="single"/>
        </w:rPr>
      </w:pPr>
      <w:r w:rsidRPr="00077E56">
        <w:rPr>
          <w:rFonts w:ascii="Times New Roman" w:hAnsi="Times New Roman" w:cs="Times New Roman"/>
          <w:u w:val="single"/>
        </w:rPr>
        <w:t>Maw K</w:t>
      </w:r>
      <w:r w:rsidRPr="00077E56">
        <w:rPr>
          <w:rFonts w:ascii="Times New Roman" w:hAnsi="Times New Roman" w:cs="Times New Roman"/>
        </w:rPr>
        <w:t xml:space="preserve">*, </w:t>
      </w:r>
      <w:r w:rsidRPr="00077E56">
        <w:rPr>
          <w:rFonts w:ascii="Times New Roman" w:hAnsi="Times New Roman" w:cs="Times New Roman"/>
          <w:u w:val="single"/>
        </w:rPr>
        <w:t>Baron S</w:t>
      </w:r>
      <w:r w:rsidRPr="00077E56">
        <w:rPr>
          <w:rFonts w:ascii="Times New Roman" w:hAnsi="Times New Roman" w:cs="Times New Roman"/>
        </w:rPr>
        <w:t xml:space="preserve">, </w:t>
      </w:r>
      <w:r w:rsidRPr="00077E56">
        <w:rPr>
          <w:rFonts w:ascii="Times New Roman" w:hAnsi="Times New Roman" w:cs="Times New Roman"/>
          <w:u w:val="single"/>
        </w:rPr>
        <w:t>Sinnett M</w:t>
      </w:r>
    </w:p>
    <w:p w14:paraId="40E04837" w14:textId="77777777" w:rsidR="00077E56" w:rsidRPr="00077E56" w:rsidRDefault="00077E56" w:rsidP="00077E56">
      <w:pPr>
        <w:rPr>
          <w:rFonts w:ascii="Times New Roman" w:hAnsi="Times New Roman" w:cs="Times New Roman"/>
        </w:rPr>
      </w:pPr>
      <w:r w:rsidRPr="00077E56">
        <w:rPr>
          <w:rFonts w:ascii="Times New Roman" w:hAnsi="Times New Roman" w:cs="Times New Roman"/>
        </w:rPr>
        <w:t>Montefiore Medical Center, 111 East 210</w:t>
      </w:r>
      <w:r w:rsidRPr="00077E56">
        <w:rPr>
          <w:rFonts w:ascii="Times New Roman" w:hAnsi="Times New Roman" w:cs="Times New Roman"/>
          <w:vertAlign w:val="superscript"/>
        </w:rPr>
        <w:t>th</w:t>
      </w:r>
      <w:r w:rsidRPr="00077E56">
        <w:rPr>
          <w:rFonts w:ascii="Times New Roman" w:hAnsi="Times New Roman" w:cs="Times New Roman"/>
        </w:rPr>
        <w:t xml:space="preserve"> street, Bronx, NY 10467</w:t>
      </w:r>
    </w:p>
    <w:p w14:paraId="773F4091" w14:textId="77777777" w:rsidR="00077E56" w:rsidRPr="00077E56" w:rsidRDefault="00077E56" w:rsidP="00077E56">
      <w:pPr>
        <w:rPr>
          <w:rFonts w:ascii="Times New Roman" w:hAnsi="Times New Roman" w:cs="Times New Roman"/>
        </w:rPr>
      </w:pPr>
    </w:p>
    <w:p w14:paraId="509CEBAB" w14:textId="77777777" w:rsidR="00077E56" w:rsidRPr="00077E56" w:rsidRDefault="00077E56" w:rsidP="00077E56">
      <w:pPr>
        <w:rPr>
          <w:rFonts w:ascii="Times New Roman" w:hAnsi="Times New Roman" w:cs="Times New Roman"/>
        </w:rPr>
      </w:pPr>
      <w:r w:rsidRPr="00077E56">
        <w:rPr>
          <w:rFonts w:ascii="Times New Roman" w:hAnsi="Times New Roman" w:cs="Times New Roman"/>
          <w:b/>
          <w:bCs/>
        </w:rPr>
        <w:t>Background:</w:t>
      </w:r>
      <w:r w:rsidRPr="00077E56">
        <w:rPr>
          <w:rFonts w:ascii="Times New Roman" w:hAnsi="Times New Roman" w:cs="Times New Roman"/>
        </w:rPr>
        <w:t xml:space="preserve"> Our institution admits around 300 patients per month for alcohol withdrawal symptoms. Thiamine deficiency in alcohol use disorder (AUD) often leads to short-lived and severe Wernicke encephalopathy (WE) and a long-lasting and debilitating Korsakoff psychosis (KP) - neurological disorders that can lead to death. Parenteral thiamine can reverse WE if administered within the first 48-72 hours of the onset of symptoms and prevents fatality associated with WE</w:t>
      </w:r>
    </w:p>
    <w:p w14:paraId="2F09D5AA" w14:textId="77777777" w:rsidR="00077E56" w:rsidRPr="00077E56" w:rsidRDefault="00077E56" w:rsidP="00077E56">
      <w:pPr>
        <w:rPr>
          <w:rFonts w:ascii="Times New Roman" w:hAnsi="Times New Roman" w:cs="Times New Roman"/>
        </w:rPr>
      </w:pPr>
      <w:r w:rsidRPr="00077E56">
        <w:rPr>
          <w:rFonts w:ascii="Times New Roman" w:hAnsi="Times New Roman" w:cs="Times New Roman"/>
          <w:b/>
          <w:bCs/>
        </w:rPr>
        <w:t>Objective:</w:t>
      </w:r>
      <w:r w:rsidRPr="00077E56">
        <w:rPr>
          <w:rFonts w:ascii="Times New Roman" w:hAnsi="Times New Roman" w:cs="Times New Roman"/>
        </w:rPr>
        <w:t xml:space="preserve"> This retrospective study aims to conduct quality improvement methodologies to increase the proportion of the administration of parenteral high-dose thiamine (HDT) in AUD patients at our institution</w:t>
      </w:r>
    </w:p>
    <w:p w14:paraId="2756ACBB" w14:textId="77777777" w:rsidR="00077E56" w:rsidRPr="00077E56" w:rsidRDefault="00077E56" w:rsidP="00077E56">
      <w:pPr>
        <w:rPr>
          <w:rFonts w:ascii="Times New Roman" w:hAnsi="Times New Roman" w:cs="Times New Roman"/>
        </w:rPr>
      </w:pPr>
      <w:r w:rsidRPr="00077E56">
        <w:rPr>
          <w:rFonts w:ascii="Times New Roman" w:hAnsi="Times New Roman" w:cs="Times New Roman"/>
          <w:b/>
          <w:bCs/>
        </w:rPr>
        <w:t>Methods:</w:t>
      </w:r>
      <w:r w:rsidRPr="00077E56">
        <w:rPr>
          <w:rFonts w:ascii="Times New Roman" w:hAnsi="Times New Roman" w:cs="Times New Roman"/>
        </w:rPr>
        <w:t xml:space="preserve"> Our goal is to increase proportion of administration of at least one dose of HDT within 24 hours of admission from 30 to 90% by June 2021. This project was approved by the Institutional Review Board (IRB) and received an exemption. Using quality improvement methodologies, one test of change is to link HDT to </w:t>
      </w:r>
      <w:r w:rsidRPr="00077E56">
        <w:rPr>
          <w:rFonts w:ascii="Times New Roman" w:hAnsi="Times New Roman" w:cs="Times New Roman"/>
          <w:shd w:val="clear" w:color="auto" w:fill="FFFFFF"/>
        </w:rPr>
        <w:t>chlordiazepoxide</w:t>
      </w:r>
      <w:r w:rsidRPr="00077E56">
        <w:rPr>
          <w:rFonts w:ascii="Times New Roman" w:hAnsi="Times New Roman" w:cs="Times New Roman"/>
        </w:rPr>
        <w:t xml:space="preserve"> order panel in our electronic medical record; thus, allowing prescribers to have HDT included in the panel when prescribing chlordiazepoxide for alcohol withdrawal. This change will not create an extra alert in the system eliminating alert fatigue; however, prescribers will have an option to unlink HDT if wished to do so</w:t>
      </w:r>
    </w:p>
    <w:p w14:paraId="432D50D5" w14:textId="77777777" w:rsidR="00077E56" w:rsidRPr="00077E56" w:rsidRDefault="00077E56" w:rsidP="00077E56">
      <w:pPr>
        <w:rPr>
          <w:rFonts w:ascii="Times New Roman" w:hAnsi="Times New Roman" w:cs="Times New Roman"/>
        </w:rPr>
      </w:pPr>
      <w:r w:rsidRPr="00077E56">
        <w:rPr>
          <w:rFonts w:ascii="Times New Roman" w:hAnsi="Times New Roman" w:cs="Times New Roman"/>
          <w:b/>
          <w:bCs/>
        </w:rPr>
        <w:t>Results:</w:t>
      </w:r>
      <w:r w:rsidRPr="00077E56">
        <w:rPr>
          <w:rFonts w:ascii="Times New Roman" w:hAnsi="Times New Roman" w:cs="Times New Roman"/>
        </w:rPr>
        <w:t xml:space="preserve"> Chlordiazepoxide with HDT updated panel is going live in March 2021 – awaiting results</w:t>
      </w:r>
    </w:p>
    <w:p w14:paraId="3C82DF7C" w14:textId="77777777" w:rsidR="00077E56" w:rsidRPr="00077E56" w:rsidRDefault="00077E56" w:rsidP="00077E56">
      <w:pPr>
        <w:rPr>
          <w:rFonts w:ascii="Times New Roman" w:hAnsi="Times New Roman" w:cs="Times New Roman"/>
          <w:b/>
          <w:bCs/>
        </w:rPr>
      </w:pPr>
      <w:r w:rsidRPr="00077E56">
        <w:rPr>
          <w:rFonts w:ascii="Times New Roman" w:hAnsi="Times New Roman" w:cs="Times New Roman"/>
          <w:b/>
          <w:bCs/>
        </w:rPr>
        <w:t xml:space="preserve">Conclusions: </w:t>
      </w:r>
      <w:r w:rsidRPr="00077E56">
        <w:rPr>
          <w:rFonts w:ascii="Times New Roman" w:hAnsi="Times New Roman" w:cs="Times New Roman"/>
        </w:rPr>
        <w:t>pending</w:t>
      </w:r>
    </w:p>
    <w:p w14:paraId="34EA6E9B" w14:textId="77777777" w:rsidR="00077E56" w:rsidRDefault="00077E56" w:rsidP="00077E56">
      <w:pPr>
        <w:rPr>
          <w:rFonts w:ascii="Times New Roman" w:hAnsi="Times New Roman" w:cs="Times New Roman"/>
        </w:rPr>
      </w:pPr>
    </w:p>
    <w:p w14:paraId="6FC67C63" w14:textId="03C4654D" w:rsidR="00077E56" w:rsidRDefault="00077E56" w:rsidP="0007657F">
      <w:pPr>
        <w:rPr>
          <w:sz w:val="24"/>
          <w:szCs w:val="24"/>
        </w:rPr>
      </w:pPr>
    </w:p>
    <w:p w14:paraId="206EF8DE" w14:textId="5C4E1179" w:rsidR="00077E56" w:rsidRDefault="00077E56" w:rsidP="0007657F">
      <w:pPr>
        <w:rPr>
          <w:sz w:val="24"/>
          <w:szCs w:val="24"/>
        </w:rPr>
      </w:pPr>
    </w:p>
    <w:p w14:paraId="3A012AF8" w14:textId="59DA4808" w:rsidR="00077E56" w:rsidRDefault="00077E56" w:rsidP="0007657F">
      <w:pPr>
        <w:rPr>
          <w:sz w:val="24"/>
          <w:szCs w:val="24"/>
        </w:rPr>
      </w:pPr>
    </w:p>
    <w:p w14:paraId="260A2FE0" w14:textId="6FDB7D76" w:rsidR="00077E56" w:rsidRDefault="00077E56" w:rsidP="0007657F">
      <w:pPr>
        <w:rPr>
          <w:sz w:val="24"/>
          <w:szCs w:val="24"/>
        </w:rPr>
      </w:pPr>
    </w:p>
    <w:p w14:paraId="526916F2" w14:textId="24A21E27" w:rsidR="00077E56" w:rsidRDefault="00077E56" w:rsidP="0007657F">
      <w:pPr>
        <w:rPr>
          <w:sz w:val="24"/>
          <w:szCs w:val="24"/>
        </w:rPr>
      </w:pPr>
    </w:p>
    <w:p w14:paraId="7A6B88A5" w14:textId="0A6610EA" w:rsidR="00077E56" w:rsidRDefault="00077E56" w:rsidP="0007657F">
      <w:pPr>
        <w:rPr>
          <w:sz w:val="24"/>
          <w:szCs w:val="24"/>
        </w:rPr>
      </w:pPr>
    </w:p>
    <w:p w14:paraId="08A394F0" w14:textId="069569F2" w:rsidR="00077E56" w:rsidRDefault="00077E56" w:rsidP="0007657F">
      <w:pPr>
        <w:rPr>
          <w:sz w:val="24"/>
          <w:szCs w:val="24"/>
        </w:rPr>
      </w:pPr>
    </w:p>
    <w:p w14:paraId="2D0E2994" w14:textId="135DE33E" w:rsidR="00077E56" w:rsidRDefault="00077E56" w:rsidP="0007657F">
      <w:pPr>
        <w:rPr>
          <w:sz w:val="24"/>
          <w:szCs w:val="24"/>
        </w:rPr>
      </w:pPr>
    </w:p>
    <w:p w14:paraId="13E37826" w14:textId="18850D3E" w:rsidR="00077E56" w:rsidRDefault="00077E56" w:rsidP="0007657F">
      <w:pPr>
        <w:rPr>
          <w:sz w:val="24"/>
          <w:szCs w:val="24"/>
        </w:rPr>
      </w:pPr>
    </w:p>
    <w:p w14:paraId="4359C948" w14:textId="668BAD1D" w:rsidR="00077E56" w:rsidRDefault="00077E56" w:rsidP="0007657F">
      <w:pPr>
        <w:rPr>
          <w:sz w:val="24"/>
          <w:szCs w:val="24"/>
        </w:rPr>
      </w:pPr>
    </w:p>
    <w:p w14:paraId="177D2933" w14:textId="37A24013" w:rsidR="00077E56" w:rsidRDefault="00077E56" w:rsidP="0007657F">
      <w:pPr>
        <w:rPr>
          <w:sz w:val="24"/>
          <w:szCs w:val="24"/>
        </w:rPr>
      </w:pPr>
    </w:p>
    <w:p w14:paraId="31F45AA1" w14:textId="77777777" w:rsidR="00077E56" w:rsidRPr="00077E56" w:rsidRDefault="00077E56" w:rsidP="00077E56">
      <w:pPr>
        <w:spacing w:after="0" w:line="240" w:lineRule="auto"/>
        <w:rPr>
          <w:rFonts w:ascii="Times New Roman" w:eastAsia="Times New Roman" w:hAnsi="Times New Roman" w:cs="Times New Roman"/>
          <w:color w:val="000000"/>
        </w:rPr>
      </w:pPr>
      <w:r w:rsidRPr="00077E56">
        <w:rPr>
          <w:rFonts w:ascii="Times New Roman" w:eastAsia="Times New Roman" w:hAnsi="Times New Roman" w:cs="Times New Roman"/>
          <w:color w:val="000000"/>
        </w:rPr>
        <w:lastRenderedPageBreak/>
        <w:t>EVALUATION OF PHARMACIST-DRIVEN COMPREHENSIVE CARE PLANNING ON CLINICAL OUTCOMES AMONG PATIENTS WITH UNCONTROLLED TYPE 2 DIABETES</w:t>
      </w:r>
    </w:p>
    <w:p w14:paraId="064599F9" w14:textId="77777777" w:rsidR="00077E56" w:rsidRPr="00077E56" w:rsidRDefault="00077E56" w:rsidP="00077E56">
      <w:pPr>
        <w:spacing w:after="0" w:line="240" w:lineRule="auto"/>
        <w:rPr>
          <w:rFonts w:ascii="Times New Roman" w:eastAsia="Times New Roman" w:hAnsi="Times New Roman" w:cs="Times New Roman"/>
          <w:color w:val="000000"/>
          <w:u w:val="single"/>
        </w:rPr>
      </w:pPr>
    </w:p>
    <w:p w14:paraId="3730A3E0" w14:textId="77777777" w:rsidR="00077E56" w:rsidRPr="00077E56" w:rsidRDefault="00077E56" w:rsidP="00077E56">
      <w:pPr>
        <w:spacing w:after="0" w:line="240" w:lineRule="auto"/>
        <w:rPr>
          <w:rFonts w:ascii="Times New Roman" w:eastAsia="Times New Roman" w:hAnsi="Times New Roman" w:cs="Times New Roman"/>
          <w:color w:val="000000"/>
          <w:u w:val="single"/>
        </w:rPr>
      </w:pPr>
      <w:r w:rsidRPr="00077E56">
        <w:rPr>
          <w:rFonts w:ascii="Times New Roman" w:eastAsia="Times New Roman" w:hAnsi="Times New Roman" w:cs="Times New Roman"/>
          <w:color w:val="000000"/>
          <w:u w:val="single"/>
        </w:rPr>
        <w:t>McDougal S*, Nabi T, Ingber A, Bansal M, Tiwari R</w:t>
      </w:r>
    </w:p>
    <w:p w14:paraId="600B879D" w14:textId="77777777" w:rsidR="00077E56" w:rsidRPr="00077E56" w:rsidRDefault="00077E56" w:rsidP="00077E56">
      <w:pPr>
        <w:spacing w:after="0" w:line="240" w:lineRule="auto"/>
        <w:rPr>
          <w:rFonts w:ascii="Times New Roman" w:eastAsia="Times New Roman" w:hAnsi="Times New Roman" w:cs="Times New Roman"/>
          <w:color w:val="000000"/>
        </w:rPr>
      </w:pPr>
    </w:p>
    <w:p w14:paraId="355E7790" w14:textId="77777777" w:rsidR="00077E56" w:rsidRPr="00077E56" w:rsidRDefault="00077E56" w:rsidP="00077E56">
      <w:pPr>
        <w:spacing w:after="0" w:line="240" w:lineRule="auto"/>
        <w:rPr>
          <w:rFonts w:ascii="Times New Roman" w:eastAsia="Times New Roman" w:hAnsi="Times New Roman" w:cs="Times New Roman"/>
        </w:rPr>
      </w:pPr>
      <w:r w:rsidRPr="00077E56">
        <w:rPr>
          <w:rFonts w:ascii="Times New Roman" w:eastAsia="Times New Roman" w:hAnsi="Times New Roman" w:cs="Times New Roman"/>
          <w:color w:val="000000"/>
        </w:rPr>
        <w:t>Mount Sinai Health Partners 320 E 94th St, New York NY 10128</w:t>
      </w:r>
    </w:p>
    <w:p w14:paraId="041DADE0" w14:textId="77777777" w:rsidR="00077E56" w:rsidRPr="00077E56" w:rsidRDefault="00077E56" w:rsidP="00077E56">
      <w:pPr>
        <w:spacing w:after="0" w:line="240" w:lineRule="auto"/>
        <w:rPr>
          <w:rFonts w:ascii="Times New Roman" w:eastAsia="Times New Roman" w:hAnsi="Times New Roman" w:cs="Times New Roman"/>
        </w:rPr>
      </w:pPr>
    </w:p>
    <w:p w14:paraId="01A426B2" w14:textId="77777777" w:rsidR="00077E56" w:rsidRPr="00077E56" w:rsidRDefault="00077E56" w:rsidP="00077E56">
      <w:pPr>
        <w:spacing w:after="0" w:line="240" w:lineRule="auto"/>
        <w:rPr>
          <w:rFonts w:ascii="Times New Roman" w:eastAsia="Times New Roman" w:hAnsi="Times New Roman" w:cs="Times New Roman"/>
        </w:rPr>
      </w:pPr>
    </w:p>
    <w:p w14:paraId="116D369C" w14:textId="77777777" w:rsidR="00077E56" w:rsidRPr="00077E56" w:rsidRDefault="00077E56" w:rsidP="00077E56">
      <w:pPr>
        <w:spacing w:after="0" w:line="240" w:lineRule="auto"/>
        <w:rPr>
          <w:rFonts w:ascii="Times New Roman" w:eastAsia="Times New Roman" w:hAnsi="Times New Roman" w:cs="Times New Roman"/>
        </w:rPr>
      </w:pPr>
      <w:r w:rsidRPr="00077E56">
        <w:rPr>
          <w:rFonts w:ascii="Times New Roman" w:eastAsia="Times New Roman" w:hAnsi="Times New Roman" w:cs="Times New Roman"/>
          <w:b/>
          <w:color w:val="000000"/>
        </w:rPr>
        <w:t>Background:</w:t>
      </w:r>
      <w:r w:rsidRPr="00077E56">
        <w:rPr>
          <w:rFonts w:ascii="Times New Roman" w:eastAsia="Times New Roman" w:hAnsi="Times New Roman" w:cs="Times New Roman"/>
          <w:color w:val="000000"/>
        </w:rPr>
        <w:t xml:space="preserve"> In 2017, the annual cost of diabetes care in the United States was $327 billion. As a result, the American Diabetes Association highlighted Wagner’s Chronic Care Model as a framework to reduce cost and improve diabetes care. At our institution, clinical pharmacy services offered within primary care practices include many components of Wagner’s CCM, including comprehensive care planning. Therefore, the objective of this study is to evaluate the impact of pharmacist-led care planning on clinical and population health outcomes among patients with uncontrolled type 2 diabetes, compared to patients managed by primary care physicians only.</w:t>
      </w:r>
    </w:p>
    <w:p w14:paraId="25D4BE24" w14:textId="77777777" w:rsidR="00077E56" w:rsidRPr="00077E56" w:rsidRDefault="00077E56" w:rsidP="00077E56">
      <w:pPr>
        <w:spacing w:after="0" w:line="240" w:lineRule="auto"/>
        <w:rPr>
          <w:rFonts w:ascii="Times New Roman" w:eastAsia="Times New Roman" w:hAnsi="Times New Roman" w:cs="Times New Roman"/>
        </w:rPr>
      </w:pPr>
    </w:p>
    <w:p w14:paraId="6D8F2449" w14:textId="77777777" w:rsidR="00077E56" w:rsidRPr="00077E56" w:rsidRDefault="00077E56" w:rsidP="00077E56">
      <w:pPr>
        <w:spacing w:after="0" w:line="240" w:lineRule="auto"/>
        <w:rPr>
          <w:rFonts w:ascii="Times New Roman" w:eastAsia="Times New Roman" w:hAnsi="Times New Roman" w:cs="Times New Roman"/>
          <w:b/>
        </w:rPr>
      </w:pPr>
      <w:r w:rsidRPr="00077E56">
        <w:rPr>
          <w:rFonts w:ascii="Times New Roman" w:eastAsia="Times New Roman" w:hAnsi="Times New Roman" w:cs="Times New Roman"/>
          <w:b/>
          <w:color w:val="000000"/>
        </w:rPr>
        <w:t>Objectives:</w:t>
      </w:r>
      <w:r w:rsidRPr="00077E56">
        <w:rPr>
          <w:rFonts w:ascii="Times New Roman" w:eastAsia="Times New Roman" w:hAnsi="Times New Roman" w:cs="Times New Roman"/>
          <w:b/>
        </w:rPr>
        <w:t xml:space="preserve"> </w:t>
      </w:r>
      <w:r w:rsidRPr="00077E56">
        <w:rPr>
          <w:rFonts w:ascii="Times New Roman" w:eastAsia="Times New Roman" w:hAnsi="Times New Roman" w:cs="Times New Roman"/>
          <w:color w:val="000000"/>
        </w:rPr>
        <w:t>The primary outcomes are the number of completed guideline-directed diabetes care interventions and the average absolute change from baseline in A1C. Secondary outcomes include change from baseline in LDL, change from baseline in eGFR and urinary albumin, diabetes related emergency department visits, urgent care visits, and hospitalizations, no show rate, diabetes medication adherence, and statin prescribing.</w:t>
      </w:r>
    </w:p>
    <w:p w14:paraId="276FE55E" w14:textId="77777777" w:rsidR="00077E56" w:rsidRPr="00077E56" w:rsidRDefault="00077E56" w:rsidP="00077E56">
      <w:pPr>
        <w:spacing w:after="0" w:line="240" w:lineRule="auto"/>
        <w:rPr>
          <w:rFonts w:ascii="Times New Roman" w:eastAsia="Times New Roman" w:hAnsi="Times New Roman" w:cs="Times New Roman"/>
        </w:rPr>
      </w:pPr>
    </w:p>
    <w:p w14:paraId="0ABF051E" w14:textId="77777777" w:rsidR="00077E56" w:rsidRPr="00077E56" w:rsidRDefault="00077E56" w:rsidP="00077E56">
      <w:pPr>
        <w:spacing w:after="0" w:line="240" w:lineRule="auto"/>
        <w:rPr>
          <w:rFonts w:ascii="Times New Roman" w:eastAsia="Times New Roman" w:hAnsi="Times New Roman" w:cs="Times New Roman"/>
          <w:b/>
        </w:rPr>
      </w:pPr>
      <w:r w:rsidRPr="00077E56">
        <w:rPr>
          <w:rFonts w:ascii="Times New Roman" w:eastAsia="Times New Roman" w:hAnsi="Times New Roman" w:cs="Times New Roman"/>
          <w:b/>
          <w:color w:val="000000"/>
        </w:rPr>
        <w:t>Methods:</w:t>
      </w:r>
      <w:r w:rsidRPr="00077E56">
        <w:rPr>
          <w:rFonts w:ascii="Times New Roman" w:eastAsia="Times New Roman" w:hAnsi="Times New Roman" w:cs="Times New Roman"/>
          <w:b/>
        </w:rPr>
        <w:t xml:space="preserve"> </w:t>
      </w:r>
      <w:r w:rsidRPr="00077E56">
        <w:rPr>
          <w:rFonts w:ascii="Times New Roman" w:eastAsia="Times New Roman" w:hAnsi="Times New Roman" w:cs="Times New Roman"/>
          <w:color w:val="000000"/>
        </w:rPr>
        <w:t>A retrospective chart review will be performed. Patients with type 2 diabetes managed by a pharmacist and primary care physician will be assessed for inclusion eligibility and matched with patients managed by a PCP only. Patients aged 18 years and older with uncontrolled type 2 diabetes and engaged in care will be included. Patients will be excluded if they have a history of type 1 diabetes, bariatric surgery, or if inadequate lab data is available in the medical record. Descriptive statistics such as means and percentages will be used for analysis.</w:t>
      </w:r>
    </w:p>
    <w:p w14:paraId="5D340BB1" w14:textId="77777777" w:rsidR="00077E56" w:rsidRPr="00077E56" w:rsidRDefault="00077E56" w:rsidP="00077E56">
      <w:pPr>
        <w:spacing w:after="0" w:line="240" w:lineRule="auto"/>
        <w:rPr>
          <w:rFonts w:ascii="Times New Roman" w:eastAsia="Times New Roman" w:hAnsi="Times New Roman" w:cs="Times New Roman"/>
        </w:rPr>
      </w:pPr>
    </w:p>
    <w:p w14:paraId="30B15D31" w14:textId="77777777" w:rsidR="00077E56" w:rsidRPr="00077E56" w:rsidRDefault="00077E56" w:rsidP="00077E56">
      <w:pPr>
        <w:spacing w:after="0" w:line="240" w:lineRule="auto"/>
        <w:rPr>
          <w:rFonts w:ascii="Times New Roman" w:eastAsia="Times New Roman" w:hAnsi="Times New Roman" w:cs="Times New Roman"/>
          <w:b/>
        </w:rPr>
      </w:pPr>
      <w:r w:rsidRPr="00077E56">
        <w:rPr>
          <w:rFonts w:ascii="Times New Roman" w:eastAsia="Times New Roman" w:hAnsi="Times New Roman" w:cs="Times New Roman"/>
          <w:b/>
          <w:color w:val="000000"/>
        </w:rPr>
        <w:t>Results:</w:t>
      </w:r>
      <w:r w:rsidRPr="00077E56">
        <w:rPr>
          <w:rFonts w:ascii="Times New Roman" w:eastAsia="Times New Roman" w:hAnsi="Times New Roman" w:cs="Times New Roman"/>
          <w:b/>
        </w:rPr>
        <w:t xml:space="preserve"> </w:t>
      </w:r>
      <w:r w:rsidRPr="00077E56">
        <w:rPr>
          <w:rFonts w:ascii="Times New Roman" w:eastAsia="Times New Roman" w:hAnsi="Times New Roman" w:cs="Times New Roman"/>
          <w:color w:val="000000"/>
        </w:rPr>
        <w:t>Research in progress.</w:t>
      </w:r>
    </w:p>
    <w:p w14:paraId="1F50FD1D" w14:textId="77777777" w:rsidR="00077E56" w:rsidRPr="00077E56" w:rsidRDefault="00077E56" w:rsidP="00077E56">
      <w:pPr>
        <w:spacing w:after="0" w:line="240" w:lineRule="auto"/>
        <w:rPr>
          <w:rFonts w:ascii="Times New Roman" w:eastAsia="Times New Roman" w:hAnsi="Times New Roman" w:cs="Times New Roman"/>
        </w:rPr>
      </w:pPr>
    </w:p>
    <w:p w14:paraId="010B12FD" w14:textId="77777777" w:rsidR="00077E56" w:rsidRPr="00077E56" w:rsidRDefault="00077E56" w:rsidP="00077E56">
      <w:pPr>
        <w:spacing w:after="0" w:line="240" w:lineRule="auto"/>
        <w:rPr>
          <w:rFonts w:ascii="Times New Roman" w:eastAsia="Times New Roman" w:hAnsi="Times New Roman" w:cs="Times New Roman"/>
          <w:b/>
        </w:rPr>
      </w:pPr>
      <w:r w:rsidRPr="00077E56">
        <w:rPr>
          <w:rFonts w:ascii="Times New Roman" w:eastAsia="Times New Roman" w:hAnsi="Times New Roman" w:cs="Times New Roman"/>
          <w:b/>
          <w:color w:val="000000"/>
        </w:rPr>
        <w:t>Conclusions:</w:t>
      </w:r>
      <w:r w:rsidRPr="00077E56">
        <w:rPr>
          <w:rFonts w:ascii="Times New Roman" w:eastAsia="Times New Roman" w:hAnsi="Times New Roman" w:cs="Times New Roman"/>
          <w:b/>
        </w:rPr>
        <w:t xml:space="preserve"> </w:t>
      </w:r>
      <w:r w:rsidRPr="00077E56">
        <w:rPr>
          <w:rFonts w:ascii="Times New Roman" w:eastAsia="Times New Roman" w:hAnsi="Times New Roman" w:cs="Times New Roman"/>
          <w:color w:val="000000"/>
        </w:rPr>
        <w:t>Research in progress.</w:t>
      </w:r>
    </w:p>
    <w:p w14:paraId="6680FBBB" w14:textId="20E41209" w:rsidR="00077E56" w:rsidRDefault="00077E56" w:rsidP="0007657F">
      <w:pPr>
        <w:rPr>
          <w:sz w:val="24"/>
          <w:szCs w:val="24"/>
        </w:rPr>
      </w:pPr>
    </w:p>
    <w:p w14:paraId="6894977E" w14:textId="2784B945" w:rsidR="00077E56" w:rsidRDefault="00077E56" w:rsidP="0007657F">
      <w:pPr>
        <w:rPr>
          <w:sz w:val="24"/>
          <w:szCs w:val="24"/>
        </w:rPr>
      </w:pPr>
    </w:p>
    <w:p w14:paraId="29C44ADC" w14:textId="6A7895A3" w:rsidR="00077E56" w:rsidRDefault="00077E56" w:rsidP="0007657F">
      <w:pPr>
        <w:rPr>
          <w:sz w:val="24"/>
          <w:szCs w:val="24"/>
        </w:rPr>
      </w:pPr>
    </w:p>
    <w:p w14:paraId="2F118581" w14:textId="4E3B5FEF" w:rsidR="00077E56" w:rsidRDefault="00077E56" w:rsidP="0007657F">
      <w:pPr>
        <w:rPr>
          <w:sz w:val="24"/>
          <w:szCs w:val="24"/>
        </w:rPr>
      </w:pPr>
    </w:p>
    <w:p w14:paraId="56DC24E5" w14:textId="5680538F" w:rsidR="00077E56" w:rsidRDefault="00077E56" w:rsidP="0007657F">
      <w:pPr>
        <w:rPr>
          <w:sz w:val="24"/>
          <w:szCs w:val="24"/>
        </w:rPr>
      </w:pPr>
    </w:p>
    <w:p w14:paraId="14128425" w14:textId="25644833" w:rsidR="00077E56" w:rsidRDefault="00077E56" w:rsidP="0007657F">
      <w:pPr>
        <w:rPr>
          <w:sz w:val="24"/>
          <w:szCs w:val="24"/>
        </w:rPr>
      </w:pPr>
    </w:p>
    <w:p w14:paraId="13328E51" w14:textId="158A7F56" w:rsidR="00077E56" w:rsidRDefault="00077E56" w:rsidP="0007657F">
      <w:pPr>
        <w:rPr>
          <w:sz w:val="24"/>
          <w:szCs w:val="24"/>
        </w:rPr>
      </w:pPr>
    </w:p>
    <w:p w14:paraId="7D43CBC6" w14:textId="2CED5A59" w:rsidR="00077E56" w:rsidRDefault="00077E56" w:rsidP="0007657F">
      <w:pPr>
        <w:rPr>
          <w:sz w:val="24"/>
          <w:szCs w:val="24"/>
        </w:rPr>
      </w:pPr>
    </w:p>
    <w:p w14:paraId="28AFE612" w14:textId="7F19FCEE" w:rsidR="00077E56" w:rsidRDefault="00077E56" w:rsidP="0007657F">
      <w:pPr>
        <w:rPr>
          <w:sz w:val="24"/>
          <w:szCs w:val="24"/>
        </w:rPr>
      </w:pPr>
    </w:p>
    <w:p w14:paraId="23091FBD" w14:textId="30135114" w:rsidR="00077E56" w:rsidRDefault="00077E56" w:rsidP="0007657F">
      <w:pPr>
        <w:rPr>
          <w:sz w:val="24"/>
          <w:szCs w:val="24"/>
        </w:rPr>
      </w:pPr>
    </w:p>
    <w:p w14:paraId="7FE7FF28" w14:textId="77777777" w:rsidR="00077E56" w:rsidRDefault="00077E56" w:rsidP="00077E56">
      <w:pPr>
        <w:spacing w:after="0"/>
        <w:rPr>
          <w:rFonts w:ascii="Times New Roman" w:hAnsi="Times New Roman" w:cs="Times New Roman"/>
        </w:rPr>
      </w:pPr>
      <w:r>
        <w:rPr>
          <w:rFonts w:ascii="Times New Roman" w:hAnsi="Times New Roman" w:cs="Times New Roman"/>
        </w:rPr>
        <w:lastRenderedPageBreak/>
        <w:t>EVALUATION OF OUTCOMES IN PATIENTS WITH INTRACEREBRAL HEMORRHAGE RECEIVING PLATELET TRANSFUSIONS STRATIFIED BY RETROSPECTIVE ASSESSMENT OF PLATELET FUNCTION ASSAY RESULTS</w:t>
      </w:r>
    </w:p>
    <w:p w14:paraId="0234AA34" w14:textId="77777777" w:rsidR="00077E56" w:rsidRDefault="00077E56" w:rsidP="00077E56">
      <w:pPr>
        <w:spacing w:after="0"/>
        <w:rPr>
          <w:rFonts w:ascii="Times New Roman" w:hAnsi="Times New Roman" w:cs="Times New Roman"/>
        </w:rPr>
      </w:pPr>
      <w:r>
        <w:rPr>
          <w:rFonts w:ascii="Times New Roman" w:hAnsi="Times New Roman" w:cs="Times New Roman"/>
          <w:u w:val="single"/>
        </w:rPr>
        <w:t>McGrath P</w:t>
      </w:r>
      <w:r>
        <w:rPr>
          <w:rFonts w:ascii="Times New Roman" w:hAnsi="Times New Roman" w:cs="Times New Roman"/>
        </w:rPr>
        <w:t xml:space="preserve">*, </w:t>
      </w:r>
      <w:r>
        <w:rPr>
          <w:rFonts w:ascii="Times New Roman" w:hAnsi="Times New Roman" w:cs="Times New Roman"/>
          <w:u w:val="single"/>
        </w:rPr>
        <w:t>Zahn M</w:t>
      </w:r>
      <w:r>
        <w:rPr>
          <w:rFonts w:ascii="Times New Roman" w:hAnsi="Times New Roman" w:cs="Times New Roman"/>
        </w:rPr>
        <w:t xml:space="preserve">, </w:t>
      </w:r>
      <w:r>
        <w:rPr>
          <w:rFonts w:ascii="Times New Roman" w:hAnsi="Times New Roman" w:cs="Times New Roman"/>
          <w:u w:val="single"/>
        </w:rPr>
        <w:t>Hess R</w:t>
      </w:r>
      <w:r>
        <w:rPr>
          <w:rFonts w:ascii="Times New Roman" w:hAnsi="Times New Roman" w:cs="Times New Roman"/>
        </w:rPr>
        <w:t xml:space="preserve">, </w:t>
      </w:r>
      <w:r>
        <w:rPr>
          <w:rFonts w:ascii="Times New Roman" w:hAnsi="Times New Roman" w:cs="Times New Roman"/>
          <w:u w:val="single"/>
        </w:rPr>
        <w:t>Kersten B</w:t>
      </w:r>
      <w:r>
        <w:rPr>
          <w:rFonts w:ascii="Times New Roman" w:hAnsi="Times New Roman" w:cs="Times New Roman"/>
        </w:rPr>
        <w:t xml:space="preserve">, </w:t>
      </w:r>
      <w:r>
        <w:rPr>
          <w:rFonts w:ascii="Times New Roman" w:hAnsi="Times New Roman" w:cs="Times New Roman"/>
          <w:u w:val="single"/>
        </w:rPr>
        <w:t>Nadler M</w:t>
      </w:r>
    </w:p>
    <w:p w14:paraId="39724C5B" w14:textId="77777777" w:rsidR="00077E56" w:rsidRDefault="00077E56" w:rsidP="00077E56">
      <w:pPr>
        <w:pStyle w:val="Default"/>
      </w:pPr>
      <w:r>
        <w:t xml:space="preserve">Buffalo General Medical Center, 100 High Street, Buffalo, NY 14203 </w:t>
      </w:r>
    </w:p>
    <w:p w14:paraId="70E81321" w14:textId="77777777" w:rsidR="00077E56" w:rsidRDefault="00077E56" w:rsidP="00077E56">
      <w:pPr>
        <w:spacing w:before="240"/>
        <w:rPr>
          <w:rFonts w:ascii="Times New Roman" w:hAnsi="Times New Roman" w:cs="Times New Roman"/>
        </w:rPr>
      </w:pPr>
      <w:r>
        <w:rPr>
          <w:rFonts w:ascii="Times New Roman" w:hAnsi="Times New Roman" w:cs="Times New Roman"/>
          <w:b/>
        </w:rPr>
        <w:t xml:space="preserve">Background: </w:t>
      </w:r>
      <w:r>
        <w:rPr>
          <w:rFonts w:ascii="Times New Roman" w:hAnsi="Times New Roman" w:cs="Times New Roman"/>
        </w:rPr>
        <w:t>Intracerebral hemorrhage (ICH) is a common and devastating stroke syndrome. About one-third of patients presenting with primary ICH are on antithrombotic (anticoagulation and antiplatelet) medications. Currently no guidelines recommend routine use of platelet transfusions in patients on chronic antiplatelet therapy. In practice platelet transfusions are often used in this population. Platelet response tests are routinely drawn prior to platelet transfusion but transfusions are often given regardless of these results.</w:t>
      </w:r>
    </w:p>
    <w:p w14:paraId="1232C231" w14:textId="77777777" w:rsidR="00077E56" w:rsidRDefault="00077E56" w:rsidP="00077E56">
      <w:pPr>
        <w:rPr>
          <w:rFonts w:ascii="Times New Roman" w:hAnsi="Times New Roman" w:cs="Times New Roman"/>
        </w:rPr>
      </w:pPr>
      <w:r>
        <w:rPr>
          <w:rFonts w:ascii="Times New Roman" w:hAnsi="Times New Roman" w:cs="Times New Roman"/>
          <w:b/>
        </w:rPr>
        <w:t xml:space="preserve">Objectives: </w:t>
      </w:r>
      <w:r>
        <w:rPr>
          <w:rFonts w:ascii="Times New Roman" w:hAnsi="Times New Roman" w:cs="Times New Roman"/>
        </w:rPr>
        <w:t xml:space="preserve">The objective of this study is to review cases of primary ICH in patients on antiplatelet medications who received a platelet transfusion. Patients will be grouped based on the result of their pre-transfusion platelet response test. The primary outcome will be Modified Rankin Score (mRS) at hospital discharge. Secondary outcomes will include discharge disposition, in-hospital mortality, and hospital length of stay.  </w:t>
      </w:r>
    </w:p>
    <w:p w14:paraId="4050862D" w14:textId="77777777" w:rsidR="00077E56" w:rsidRDefault="00077E56" w:rsidP="00077E56">
      <w:pPr>
        <w:rPr>
          <w:rFonts w:ascii="Times New Roman" w:hAnsi="Times New Roman" w:cs="Times New Roman"/>
          <w:b/>
        </w:rPr>
      </w:pPr>
      <w:r>
        <w:rPr>
          <w:rFonts w:ascii="Times New Roman" w:hAnsi="Times New Roman" w:cs="Times New Roman"/>
          <w:b/>
        </w:rPr>
        <w:t xml:space="preserve">Methods: </w:t>
      </w:r>
      <w:r>
        <w:rPr>
          <w:rFonts w:ascii="Times New Roman" w:hAnsi="Times New Roman" w:cs="Times New Roman"/>
        </w:rPr>
        <w:t>This study is a retrospective cohort study analyzing patients who received platelet transfusions at Buffalo General Medical Center. Patients will be included if they, present with non-traumatic primary ICH, receive a platelet transfusion within six hours of presentation, and have documented home antiplatelet therapy. Key exclusion criteria include known use of home anticoagulation, withdrawal of care within 24 hours of presentation and pre-platelet transfusion platelet counts less than 100 cells x 10</w:t>
      </w:r>
      <w:r>
        <w:rPr>
          <w:rFonts w:ascii="Times New Roman" w:hAnsi="Times New Roman" w:cs="Times New Roman"/>
          <w:vertAlign w:val="superscript"/>
        </w:rPr>
        <w:t>9</w:t>
      </w:r>
      <w:r>
        <w:rPr>
          <w:rFonts w:ascii="Times New Roman" w:hAnsi="Times New Roman" w:cs="Times New Roman"/>
        </w:rPr>
        <w:t>/L. The primary outcome will be collected by study personnel blinded to results of initial platelet response tests.</w:t>
      </w:r>
    </w:p>
    <w:p w14:paraId="6C3844E9" w14:textId="77777777" w:rsidR="00077E56" w:rsidRDefault="00077E56" w:rsidP="00077E56">
      <w:pPr>
        <w:rPr>
          <w:rFonts w:ascii="Times New Roman" w:hAnsi="Times New Roman" w:cs="Times New Roman"/>
        </w:rPr>
      </w:pPr>
      <w:r>
        <w:rPr>
          <w:rFonts w:ascii="Times New Roman" w:hAnsi="Times New Roman" w:cs="Times New Roman"/>
          <w:b/>
        </w:rPr>
        <w:t xml:space="preserve">Results: </w:t>
      </w:r>
      <w:r>
        <w:rPr>
          <w:rFonts w:ascii="Times New Roman" w:hAnsi="Times New Roman" w:cs="Times New Roman"/>
        </w:rPr>
        <w:t>Results pending</w:t>
      </w:r>
    </w:p>
    <w:p w14:paraId="45B8934F" w14:textId="77777777" w:rsidR="00077E56" w:rsidRDefault="00077E56" w:rsidP="00077E56">
      <w:pPr>
        <w:rPr>
          <w:rFonts w:ascii="Times New Roman" w:hAnsi="Times New Roman" w:cs="Times New Roman"/>
        </w:rPr>
      </w:pPr>
      <w:r>
        <w:rPr>
          <w:rFonts w:ascii="Times New Roman" w:hAnsi="Times New Roman" w:cs="Times New Roman"/>
          <w:b/>
        </w:rPr>
        <w:t xml:space="preserve">Conclusion: </w:t>
      </w:r>
      <w:r>
        <w:rPr>
          <w:rFonts w:ascii="Times New Roman" w:hAnsi="Times New Roman" w:cs="Times New Roman"/>
        </w:rPr>
        <w:t>Results pending</w:t>
      </w:r>
    </w:p>
    <w:p w14:paraId="701A47AD" w14:textId="7A1B0880" w:rsidR="00077E56" w:rsidRDefault="00077E56" w:rsidP="0007657F">
      <w:pPr>
        <w:rPr>
          <w:sz w:val="24"/>
          <w:szCs w:val="24"/>
        </w:rPr>
      </w:pPr>
    </w:p>
    <w:p w14:paraId="7A220E3B" w14:textId="0788F7D4" w:rsidR="00077E56" w:rsidRDefault="00077E56" w:rsidP="0007657F">
      <w:pPr>
        <w:rPr>
          <w:sz w:val="24"/>
          <w:szCs w:val="24"/>
        </w:rPr>
      </w:pPr>
    </w:p>
    <w:p w14:paraId="2C984660" w14:textId="68D099DA" w:rsidR="00077E56" w:rsidRDefault="00077E56" w:rsidP="0007657F">
      <w:pPr>
        <w:rPr>
          <w:sz w:val="24"/>
          <w:szCs w:val="24"/>
        </w:rPr>
      </w:pPr>
    </w:p>
    <w:p w14:paraId="25AB3D41" w14:textId="3559A029" w:rsidR="00077E56" w:rsidRDefault="00077E56" w:rsidP="0007657F">
      <w:pPr>
        <w:rPr>
          <w:sz w:val="24"/>
          <w:szCs w:val="24"/>
        </w:rPr>
      </w:pPr>
    </w:p>
    <w:p w14:paraId="4A620B8D" w14:textId="2E620514" w:rsidR="00077E56" w:rsidRDefault="00077E56" w:rsidP="0007657F">
      <w:pPr>
        <w:rPr>
          <w:sz w:val="24"/>
          <w:szCs w:val="24"/>
        </w:rPr>
      </w:pPr>
    </w:p>
    <w:p w14:paraId="0169967A" w14:textId="4ABE815D" w:rsidR="00077E56" w:rsidRDefault="00077E56" w:rsidP="0007657F">
      <w:pPr>
        <w:rPr>
          <w:sz w:val="24"/>
          <w:szCs w:val="24"/>
        </w:rPr>
      </w:pPr>
    </w:p>
    <w:p w14:paraId="0975ABB9" w14:textId="02499C79" w:rsidR="00077E56" w:rsidRDefault="00077E56" w:rsidP="0007657F">
      <w:pPr>
        <w:rPr>
          <w:sz w:val="24"/>
          <w:szCs w:val="24"/>
        </w:rPr>
      </w:pPr>
    </w:p>
    <w:p w14:paraId="5D046D47" w14:textId="0DE113CA" w:rsidR="00077E56" w:rsidRDefault="00077E56" w:rsidP="0007657F">
      <w:pPr>
        <w:rPr>
          <w:sz w:val="24"/>
          <w:szCs w:val="24"/>
        </w:rPr>
      </w:pPr>
    </w:p>
    <w:p w14:paraId="0EC0F272" w14:textId="1B21AC86" w:rsidR="00077E56" w:rsidRDefault="00077E56" w:rsidP="0007657F">
      <w:pPr>
        <w:rPr>
          <w:sz w:val="24"/>
          <w:szCs w:val="24"/>
        </w:rPr>
      </w:pPr>
    </w:p>
    <w:p w14:paraId="75E4517D" w14:textId="53172D2F" w:rsidR="00077E56" w:rsidRDefault="00077E56" w:rsidP="0007657F">
      <w:pPr>
        <w:rPr>
          <w:sz w:val="24"/>
          <w:szCs w:val="24"/>
        </w:rPr>
      </w:pPr>
    </w:p>
    <w:p w14:paraId="3B2D38D2" w14:textId="50E99479" w:rsidR="00077E56" w:rsidRDefault="00077E56" w:rsidP="0007657F">
      <w:pPr>
        <w:rPr>
          <w:sz w:val="24"/>
          <w:szCs w:val="24"/>
        </w:rPr>
      </w:pPr>
    </w:p>
    <w:p w14:paraId="3B7D95BE" w14:textId="77777777" w:rsidR="00077E56" w:rsidRDefault="00077E56" w:rsidP="00077E56">
      <w:pPr>
        <w:rPr>
          <w:rFonts w:ascii="Times New Roman" w:hAnsi="Times New Roman"/>
        </w:rPr>
      </w:pPr>
      <w:r>
        <w:rPr>
          <w:rFonts w:ascii="Times New Roman" w:hAnsi="Times New Roman"/>
        </w:rPr>
        <w:lastRenderedPageBreak/>
        <w:t>SAFETY AND EFFICACY OF DIRECT ORAL ANTICOAGULANTS FOR THE TREATMENT OF PORTAL VEIN THROMBOSIS IN PATIENTS WITH LIVER CIRRHOSIS</w:t>
      </w:r>
    </w:p>
    <w:p w14:paraId="5BE6634D" w14:textId="77777777" w:rsidR="00077E56" w:rsidRDefault="00077E56" w:rsidP="00077E56">
      <w:pPr>
        <w:rPr>
          <w:rFonts w:ascii="Times New Roman" w:hAnsi="Times New Roman"/>
        </w:rPr>
      </w:pPr>
    </w:p>
    <w:p w14:paraId="307C738A" w14:textId="77777777" w:rsidR="00077E56" w:rsidRDefault="00077E56" w:rsidP="00077E56">
      <w:pPr>
        <w:rPr>
          <w:rFonts w:ascii="Times New Roman" w:hAnsi="Times New Roman"/>
        </w:rPr>
      </w:pPr>
      <w:r>
        <w:rPr>
          <w:rFonts w:ascii="Times New Roman" w:hAnsi="Times New Roman"/>
        </w:rPr>
        <w:t>Meyer K*, Lee S, Lin A, Lee T</w:t>
      </w:r>
    </w:p>
    <w:p w14:paraId="3169448F" w14:textId="77777777" w:rsidR="00077E56" w:rsidRDefault="00077E56" w:rsidP="00077E56">
      <w:pPr>
        <w:rPr>
          <w:rFonts w:ascii="Times New Roman" w:hAnsi="Times New Roman"/>
        </w:rPr>
      </w:pPr>
    </w:p>
    <w:p w14:paraId="2E77EA1B" w14:textId="77777777" w:rsidR="00077E56" w:rsidRDefault="00077E56" w:rsidP="00077E56">
      <w:pPr>
        <w:rPr>
          <w:rFonts w:ascii="Times New Roman" w:hAnsi="Times New Roman"/>
        </w:rPr>
      </w:pPr>
      <w:r>
        <w:rPr>
          <w:rFonts w:ascii="Times New Roman" w:hAnsi="Times New Roman"/>
        </w:rPr>
        <w:t>North Shore University Hospital, 300 Community Drive, Manhasset, NY 11030</w:t>
      </w:r>
    </w:p>
    <w:p w14:paraId="495CE493" w14:textId="77777777" w:rsidR="00077E56" w:rsidRDefault="00077E56" w:rsidP="00077E56">
      <w:pPr>
        <w:rPr>
          <w:rFonts w:ascii="Times New Roman" w:hAnsi="Times New Roman"/>
        </w:rPr>
      </w:pPr>
    </w:p>
    <w:p w14:paraId="0BB9C248" w14:textId="77777777" w:rsidR="00077E56" w:rsidRDefault="00077E56" w:rsidP="00077E56">
      <w:pPr>
        <w:rPr>
          <w:rFonts w:ascii="Times New Roman" w:hAnsi="Times New Roman"/>
          <w:b/>
        </w:rPr>
      </w:pPr>
      <w:r>
        <w:rPr>
          <w:rFonts w:ascii="Times New Roman" w:hAnsi="Times New Roman"/>
          <w:b/>
        </w:rPr>
        <w:t xml:space="preserve">Background: </w:t>
      </w:r>
      <w:r>
        <w:rPr>
          <w:rFonts w:ascii="Times New Roman" w:hAnsi="Times New Roman"/>
        </w:rPr>
        <w:t xml:space="preserve">Studies have shown direct oral anticoagulants (DOACs) to be as safe and effective as traditional anticoagulants, such as low-molecular weight heparin (LMWH) and warfarin, for the treatment of portal vein thrombosis (PVT) in cirrhotic patients. However, the optimal management remains ambiguous with limited data. </w:t>
      </w:r>
    </w:p>
    <w:p w14:paraId="705F06B1" w14:textId="77777777" w:rsidR="00077E56" w:rsidRDefault="00077E56" w:rsidP="00077E56">
      <w:pPr>
        <w:rPr>
          <w:rFonts w:ascii="Times New Roman" w:hAnsi="Times New Roman"/>
        </w:rPr>
      </w:pPr>
    </w:p>
    <w:p w14:paraId="08909988" w14:textId="77777777" w:rsidR="00077E56" w:rsidRDefault="00077E56" w:rsidP="00077E56">
      <w:pPr>
        <w:rPr>
          <w:rFonts w:ascii="Times New Roman" w:hAnsi="Times New Roman"/>
        </w:rPr>
      </w:pPr>
      <w:r>
        <w:rPr>
          <w:rFonts w:ascii="Times New Roman" w:hAnsi="Times New Roman"/>
          <w:b/>
        </w:rPr>
        <w:t>Objective:</w:t>
      </w:r>
      <w:r>
        <w:rPr>
          <w:rFonts w:ascii="Times New Roman" w:hAnsi="Times New Roman"/>
        </w:rPr>
        <w:t xml:space="preserve"> The purpose of this research is to compare the safety and efficacy of DOACs to traditional anticoagulants in cirrhotic patients with PVT.</w:t>
      </w:r>
    </w:p>
    <w:p w14:paraId="2E5EB92B" w14:textId="77777777" w:rsidR="00077E56" w:rsidRDefault="00077E56" w:rsidP="00077E56">
      <w:pPr>
        <w:rPr>
          <w:rFonts w:ascii="Times New Roman" w:hAnsi="Times New Roman"/>
        </w:rPr>
      </w:pPr>
    </w:p>
    <w:p w14:paraId="02F27A65" w14:textId="77777777" w:rsidR="00077E56" w:rsidRDefault="00077E56" w:rsidP="00077E56">
      <w:pPr>
        <w:rPr>
          <w:rFonts w:ascii="Times New Roman" w:hAnsi="Times New Roman"/>
        </w:rPr>
      </w:pPr>
      <w:r>
        <w:rPr>
          <w:rFonts w:ascii="Times New Roman" w:hAnsi="Times New Roman"/>
          <w:b/>
        </w:rPr>
        <w:t>Methods:</w:t>
      </w:r>
      <w:r>
        <w:rPr>
          <w:rFonts w:ascii="Times New Roman" w:hAnsi="Times New Roman"/>
        </w:rPr>
        <w:t xml:space="preserve"> This is an institutional review board approved, retrospective cohort chart review utilizing electronic medical records taken from North Shore University Hospital, Long Island Jewish Medical Center, and Lenox Hill Hospital from October 31</w:t>
      </w:r>
      <w:r>
        <w:rPr>
          <w:rFonts w:ascii="Times New Roman" w:hAnsi="Times New Roman"/>
          <w:vertAlign w:val="superscript"/>
        </w:rPr>
        <w:t>st</w:t>
      </w:r>
      <w:r>
        <w:rPr>
          <w:rFonts w:ascii="Times New Roman" w:hAnsi="Times New Roman"/>
        </w:rPr>
        <w:t>, 2010 to August 31</w:t>
      </w:r>
      <w:r>
        <w:rPr>
          <w:rFonts w:ascii="Times New Roman" w:hAnsi="Times New Roman"/>
          <w:vertAlign w:val="superscript"/>
        </w:rPr>
        <w:t>st</w:t>
      </w:r>
      <w:r>
        <w:rPr>
          <w:rFonts w:ascii="Times New Roman" w:hAnsi="Times New Roman"/>
        </w:rPr>
        <w:t xml:space="preserve">, 2020. Treatment response and safety will be assessed by comparing cirrhotic patients on DOACs versus traditional anticoagulants for the treatment of PVT. Exclusion criteria includes those receiving anticoagulant therapy for conditions other than PVT, age less than 18, pregnancy, and breastfeeding. Data to be collected includes age, sex, anticoagulants, Child-Pugh Score, concomitant medications, MELD-Na Score, international normalized ratio (INR), radiological imaging, adverse medication reactions, hemoglobin, and platelet counts. The primary endpoint is the rate of non-progression or recanalization of PVT at 6 months (plus or minus 3 months) between the two treatment arms. The primary safety endpoint includes rate of major bleeding, defined by a hemoglobin drop of two or greater, transfusion requirements, or need for reversal antidote. </w:t>
      </w:r>
    </w:p>
    <w:p w14:paraId="2B4E2B04" w14:textId="77777777" w:rsidR="00077E56" w:rsidRDefault="00077E56" w:rsidP="00077E56">
      <w:pPr>
        <w:rPr>
          <w:rFonts w:ascii="Times New Roman" w:hAnsi="Times New Roman"/>
        </w:rPr>
      </w:pPr>
    </w:p>
    <w:p w14:paraId="70D50661" w14:textId="77777777" w:rsidR="00077E56" w:rsidRDefault="00077E56" w:rsidP="00077E56">
      <w:pPr>
        <w:rPr>
          <w:rFonts w:ascii="Times New Roman" w:hAnsi="Times New Roman"/>
        </w:rPr>
      </w:pPr>
      <w:r>
        <w:rPr>
          <w:rFonts w:ascii="Times New Roman" w:hAnsi="Times New Roman"/>
          <w:b/>
        </w:rPr>
        <w:t>Results:</w:t>
      </w:r>
      <w:r>
        <w:rPr>
          <w:rFonts w:ascii="Times New Roman" w:hAnsi="Times New Roman"/>
        </w:rPr>
        <w:t xml:space="preserve"> In-progress</w:t>
      </w:r>
    </w:p>
    <w:p w14:paraId="3762A47C" w14:textId="77777777" w:rsidR="00077E56" w:rsidRDefault="00077E56" w:rsidP="00077E56">
      <w:pPr>
        <w:rPr>
          <w:rFonts w:ascii="Times New Roman" w:hAnsi="Times New Roman"/>
        </w:rPr>
      </w:pPr>
    </w:p>
    <w:p w14:paraId="5E4CFC97" w14:textId="77777777" w:rsidR="00077E56" w:rsidRDefault="00077E56" w:rsidP="00077E56">
      <w:pPr>
        <w:rPr>
          <w:rFonts w:ascii="Times New Roman" w:hAnsi="Times New Roman"/>
        </w:rPr>
      </w:pPr>
      <w:r>
        <w:rPr>
          <w:rFonts w:ascii="Times New Roman" w:hAnsi="Times New Roman"/>
          <w:b/>
        </w:rPr>
        <w:t>Conclusion:</w:t>
      </w:r>
      <w:r>
        <w:rPr>
          <w:rFonts w:ascii="Times New Roman" w:hAnsi="Times New Roman"/>
        </w:rPr>
        <w:t xml:space="preserve"> In-progress</w:t>
      </w:r>
    </w:p>
    <w:p w14:paraId="2BF1CB09" w14:textId="4A831B00" w:rsidR="00077E56" w:rsidRDefault="00077E56" w:rsidP="0007657F">
      <w:pPr>
        <w:rPr>
          <w:sz w:val="24"/>
          <w:szCs w:val="24"/>
        </w:rPr>
      </w:pPr>
    </w:p>
    <w:p w14:paraId="22AFA94A" w14:textId="47FE5100" w:rsidR="00077E56" w:rsidRDefault="00077E56" w:rsidP="0007657F">
      <w:pPr>
        <w:rPr>
          <w:sz w:val="24"/>
          <w:szCs w:val="24"/>
        </w:rPr>
      </w:pPr>
    </w:p>
    <w:p w14:paraId="02765408" w14:textId="10826105" w:rsidR="00077E56" w:rsidRDefault="00077E56" w:rsidP="0007657F">
      <w:pPr>
        <w:rPr>
          <w:sz w:val="24"/>
          <w:szCs w:val="24"/>
        </w:rPr>
      </w:pPr>
    </w:p>
    <w:p w14:paraId="74D0B370" w14:textId="0580D07E" w:rsidR="00077E56" w:rsidRDefault="00077E56" w:rsidP="0007657F">
      <w:pPr>
        <w:rPr>
          <w:sz w:val="24"/>
          <w:szCs w:val="24"/>
        </w:rPr>
      </w:pPr>
    </w:p>
    <w:p w14:paraId="25B05691" w14:textId="78F5CEFD" w:rsidR="00077E56" w:rsidRDefault="00077E56" w:rsidP="0007657F">
      <w:pPr>
        <w:rPr>
          <w:sz w:val="24"/>
          <w:szCs w:val="24"/>
        </w:rPr>
      </w:pPr>
    </w:p>
    <w:p w14:paraId="281498A9" w14:textId="77777777" w:rsidR="00077E56" w:rsidRPr="00077E56" w:rsidRDefault="00077E56" w:rsidP="00077E56">
      <w:pPr>
        <w:rPr>
          <w:rFonts w:ascii="Times New Roman" w:hAnsi="Times New Roman" w:cs="Times New Roman"/>
        </w:rPr>
      </w:pPr>
      <w:r w:rsidRPr="00077E56">
        <w:rPr>
          <w:rFonts w:ascii="Times New Roman" w:hAnsi="Times New Roman" w:cs="Times New Roman"/>
        </w:rPr>
        <w:lastRenderedPageBreak/>
        <w:t>SAFETY AND EFFICACY OF DIRECT ORAL ANTICOAGULANTS FOR THE TREATMENT OF VENOUS THROMBOEMBOLISM IN PATIENTS DIAGNOSED WITH CANCER OF THE GASTROINTESTINAL TRACT</w:t>
      </w:r>
    </w:p>
    <w:p w14:paraId="39314A8F" w14:textId="77777777" w:rsidR="00077E56" w:rsidRPr="00077E56" w:rsidRDefault="00077E56" w:rsidP="00077E56">
      <w:pPr>
        <w:rPr>
          <w:rFonts w:ascii="Times New Roman" w:hAnsi="Times New Roman" w:cs="Times New Roman"/>
          <w:u w:val="single"/>
        </w:rPr>
      </w:pPr>
      <w:r w:rsidRPr="00077E56">
        <w:rPr>
          <w:rFonts w:ascii="Times New Roman" w:hAnsi="Times New Roman" w:cs="Times New Roman"/>
          <w:u w:val="single"/>
        </w:rPr>
        <w:t>Milone M*</w:t>
      </w:r>
      <w:r w:rsidRPr="00077E56">
        <w:rPr>
          <w:rFonts w:ascii="Times New Roman" w:hAnsi="Times New Roman" w:cs="Times New Roman"/>
        </w:rPr>
        <w:t xml:space="preserve">, </w:t>
      </w:r>
      <w:r w:rsidRPr="00077E56">
        <w:rPr>
          <w:rFonts w:ascii="Times New Roman" w:hAnsi="Times New Roman" w:cs="Times New Roman"/>
          <w:u w:val="single"/>
        </w:rPr>
        <w:t>Ho C</w:t>
      </w:r>
    </w:p>
    <w:p w14:paraId="33062E83" w14:textId="77777777" w:rsidR="00077E56" w:rsidRPr="00077E56" w:rsidRDefault="00077E56" w:rsidP="00077E56">
      <w:pPr>
        <w:rPr>
          <w:rFonts w:ascii="Times New Roman" w:hAnsi="Times New Roman" w:cs="Times New Roman"/>
        </w:rPr>
      </w:pPr>
      <w:r w:rsidRPr="00077E56">
        <w:rPr>
          <w:rFonts w:ascii="Times New Roman" w:hAnsi="Times New Roman" w:cs="Times New Roman"/>
        </w:rPr>
        <w:t>Long Island Jewish Medical Center, 270-05 76</w:t>
      </w:r>
      <w:r w:rsidRPr="00077E56">
        <w:rPr>
          <w:rFonts w:ascii="Times New Roman" w:hAnsi="Times New Roman" w:cs="Times New Roman"/>
          <w:vertAlign w:val="superscript"/>
        </w:rPr>
        <w:t>th</w:t>
      </w:r>
      <w:r w:rsidRPr="00077E56">
        <w:rPr>
          <w:rFonts w:ascii="Times New Roman" w:hAnsi="Times New Roman" w:cs="Times New Roman"/>
        </w:rPr>
        <w:t xml:space="preserve"> Ave, New Hyde Park, NY 11040</w:t>
      </w:r>
    </w:p>
    <w:p w14:paraId="0F3313E9" w14:textId="77777777" w:rsidR="00077E56" w:rsidRPr="00077E56" w:rsidRDefault="00077E56" w:rsidP="00077E56">
      <w:pPr>
        <w:rPr>
          <w:rFonts w:ascii="Times New Roman" w:hAnsi="Times New Roman" w:cs="Times New Roman"/>
        </w:rPr>
      </w:pPr>
    </w:p>
    <w:p w14:paraId="358F8D97" w14:textId="77777777" w:rsidR="00077E56" w:rsidRPr="00077E56" w:rsidRDefault="00077E56" w:rsidP="00077E56">
      <w:pPr>
        <w:rPr>
          <w:rFonts w:ascii="Times New Roman" w:eastAsia="Times New Roman" w:hAnsi="Times New Roman" w:cs="Times New Roman"/>
          <w:color w:val="000000" w:themeColor="text1"/>
          <w:shd w:val="clear" w:color="auto" w:fill="FFFFFF"/>
        </w:rPr>
      </w:pPr>
      <w:r w:rsidRPr="00077E56">
        <w:rPr>
          <w:rFonts w:ascii="Times New Roman" w:hAnsi="Times New Roman" w:cs="Times New Roman"/>
          <w:b/>
          <w:bCs/>
        </w:rPr>
        <w:t xml:space="preserve">Background: </w:t>
      </w:r>
      <w:r w:rsidRPr="00077E56">
        <w:rPr>
          <w:rFonts w:ascii="Times New Roman" w:eastAsia="Times New Roman" w:hAnsi="Times New Roman" w:cs="Times New Roman"/>
          <w:color w:val="000000" w:themeColor="text1"/>
          <w:shd w:val="clear" w:color="auto" w:fill="FFFFFF"/>
        </w:rPr>
        <w:t>Venous thromboembolism (VTE) is a common complication in cancer patients. Current treatment of cancer-associated VTE include low molecular weight heparin (LMWH), direct oral anticoagulant (DOACs), and warfarin. The use of DOACs are appealing based on their ease of use, leading to better patient adherence compared to self-injections with LMWH and is supported by NCCN in the cancer population without gastric lesions. However, based on several landmark trials, there are conflicting data regarding the use of DOACs and the risk of major bleeding in gastrointestinal cancers. Our study will provide further information on the overall risk and safety in this specific patient population.</w:t>
      </w:r>
    </w:p>
    <w:p w14:paraId="5F379951" w14:textId="77777777" w:rsidR="00077E56" w:rsidRPr="00077E56" w:rsidRDefault="00077E56" w:rsidP="00077E56">
      <w:pPr>
        <w:rPr>
          <w:rFonts w:ascii="Times New Roman" w:eastAsia="Times New Roman" w:hAnsi="Times New Roman" w:cs="Times New Roman"/>
          <w:color w:val="000000" w:themeColor="text1"/>
          <w:shd w:val="clear" w:color="auto" w:fill="FFFFFF"/>
        </w:rPr>
      </w:pPr>
    </w:p>
    <w:p w14:paraId="7301B2DB" w14:textId="77777777" w:rsidR="00077E56" w:rsidRPr="00077E56" w:rsidRDefault="00077E56" w:rsidP="00077E56">
      <w:pPr>
        <w:rPr>
          <w:rFonts w:ascii="Times New Roman" w:eastAsia="Times New Roman" w:hAnsi="Times New Roman" w:cs="Times New Roman"/>
          <w:color w:val="000000" w:themeColor="text1"/>
          <w:shd w:val="clear" w:color="auto" w:fill="FFFFFF"/>
        </w:rPr>
      </w:pPr>
      <w:r w:rsidRPr="00077E56">
        <w:rPr>
          <w:rFonts w:ascii="Times New Roman" w:eastAsia="Times New Roman" w:hAnsi="Times New Roman" w:cs="Times New Roman"/>
          <w:b/>
          <w:bCs/>
          <w:color w:val="000000" w:themeColor="text1"/>
          <w:shd w:val="clear" w:color="auto" w:fill="FFFFFF"/>
        </w:rPr>
        <w:t xml:space="preserve">Objective: </w:t>
      </w:r>
      <w:r w:rsidRPr="00077E56">
        <w:rPr>
          <w:rFonts w:ascii="Times New Roman" w:eastAsia="Times New Roman" w:hAnsi="Times New Roman" w:cs="Times New Roman"/>
          <w:color w:val="000000" w:themeColor="text1"/>
          <w:shd w:val="clear" w:color="auto" w:fill="FFFFFF"/>
        </w:rPr>
        <w:t>Our primary outcome will compare the rate of major bleeds between patients with gastrointestinal malignancies and VTE treated with DOACs, LMWH or, warfarin. Secondary outcomes will include major, clinically-relevant non-major, and minor bleeding episodes, time to first bleeding event, recurrent VTE, and all-cause mortality in all cancer patients.</w:t>
      </w:r>
    </w:p>
    <w:p w14:paraId="2337741F" w14:textId="77777777" w:rsidR="00077E56" w:rsidRPr="00077E56" w:rsidRDefault="00077E56" w:rsidP="00077E56">
      <w:pPr>
        <w:rPr>
          <w:rFonts w:ascii="Times New Roman" w:eastAsia="Times New Roman" w:hAnsi="Times New Roman" w:cs="Times New Roman"/>
          <w:color w:val="000000" w:themeColor="text1"/>
          <w:shd w:val="clear" w:color="auto" w:fill="FFFFFF"/>
        </w:rPr>
      </w:pPr>
    </w:p>
    <w:p w14:paraId="216E86C8" w14:textId="77777777" w:rsidR="00077E56" w:rsidRPr="00077E56" w:rsidRDefault="00077E56" w:rsidP="00077E56">
      <w:pPr>
        <w:rPr>
          <w:rFonts w:ascii="Times New Roman" w:hAnsi="Times New Roman" w:cs="Times New Roman"/>
          <w:color w:val="000000"/>
        </w:rPr>
      </w:pPr>
      <w:r w:rsidRPr="00077E56">
        <w:rPr>
          <w:rFonts w:ascii="Times New Roman" w:eastAsia="Times New Roman" w:hAnsi="Times New Roman" w:cs="Times New Roman"/>
          <w:b/>
          <w:bCs/>
          <w:color w:val="000000" w:themeColor="text1"/>
          <w:shd w:val="clear" w:color="auto" w:fill="FFFFFF"/>
        </w:rPr>
        <w:t xml:space="preserve">Methods: </w:t>
      </w:r>
      <w:r w:rsidRPr="00077E56">
        <w:rPr>
          <w:rFonts w:ascii="Times New Roman" w:eastAsia="Times New Roman" w:hAnsi="Times New Roman" w:cs="Times New Roman"/>
          <w:color w:val="000000" w:themeColor="text1"/>
          <w:shd w:val="clear" w:color="auto" w:fill="FFFFFF"/>
        </w:rPr>
        <w:t>The Institutional Review Board deemed this study exempt.</w:t>
      </w:r>
      <w:r w:rsidRPr="00077E56">
        <w:rPr>
          <w:rFonts w:ascii="Times New Roman" w:eastAsia="Times New Roman" w:hAnsi="Times New Roman" w:cs="Times New Roman"/>
          <w:b/>
          <w:bCs/>
          <w:color w:val="000000" w:themeColor="text1"/>
          <w:shd w:val="clear" w:color="auto" w:fill="FFFFFF"/>
        </w:rPr>
        <w:t xml:space="preserve"> </w:t>
      </w:r>
      <w:r w:rsidRPr="00077E56">
        <w:rPr>
          <w:rFonts w:ascii="Times New Roman" w:hAnsi="Times New Roman" w:cs="Times New Roman"/>
        </w:rPr>
        <w:t>This will be a retrospective observational chart review evaluating all patients with malignancies who were admitted with a confirmed or documented diagnosis of VTE on treatment with apixaban, rivaroxaban, edoxaban, LMWH, or warfarin. Chart review will include documenting patients who experienced bleeding, recurrent VTE, or mortality between 01/01/2016 and 12/31/2019.</w:t>
      </w:r>
    </w:p>
    <w:p w14:paraId="28355F01" w14:textId="77777777" w:rsidR="00077E56" w:rsidRPr="00077E56" w:rsidRDefault="00077E56" w:rsidP="00077E56">
      <w:pPr>
        <w:rPr>
          <w:rFonts w:ascii="Times New Roman" w:hAnsi="Times New Roman" w:cs="Times New Roman"/>
        </w:rPr>
      </w:pPr>
    </w:p>
    <w:p w14:paraId="228A739F" w14:textId="77777777" w:rsidR="00077E56" w:rsidRPr="00077E56" w:rsidRDefault="00077E56" w:rsidP="00077E56">
      <w:pPr>
        <w:rPr>
          <w:rFonts w:ascii="Times New Roman" w:hAnsi="Times New Roman" w:cs="Times New Roman"/>
        </w:rPr>
      </w:pPr>
      <w:r w:rsidRPr="00077E56">
        <w:rPr>
          <w:rFonts w:ascii="Times New Roman" w:hAnsi="Times New Roman" w:cs="Times New Roman"/>
          <w:b/>
          <w:bCs/>
        </w:rPr>
        <w:t xml:space="preserve">Results: </w:t>
      </w:r>
      <w:r w:rsidRPr="00077E56">
        <w:rPr>
          <w:rFonts w:ascii="Times New Roman" w:hAnsi="Times New Roman" w:cs="Times New Roman"/>
        </w:rPr>
        <w:t>Pending</w:t>
      </w:r>
    </w:p>
    <w:p w14:paraId="34824E77" w14:textId="77777777" w:rsidR="00077E56" w:rsidRPr="00077E56" w:rsidRDefault="00077E56" w:rsidP="00077E56">
      <w:pPr>
        <w:rPr>
          <w:rFonts w:ascii="Times New Roman" w:hAnsi="Times New Roman" w:cs="Times New Roman"/>
        </w:rPr>
      </w:pPr>
    </w:p>
    <w:p w14:paraId="0608EB73" w14:textId="77777777" w:rsidR="00077E56" w:rsidRPr="00077E56" w:rsidRDefault="00077E56" w:rsidP="00077E56">
      <w:pPr>
        <w:rPr>
          <w:rFonts w:ascii="Times New Roman" w:hAnsi="Times New Roman" w:cs="Times New Roman"/>
        </w:rPr>
      </w:pPr>
      <w:r w:rsidRPr="00077E56">
        <w:rPr>
          <w:rFonts w:ascii="Times New Roman" w:hAnsi="Times New Roman" w:cs="Times New Roman"/>
          <w:b/>
          <w:bCs/>
        </w:rPr>
        <w:t xml:space="preserve">Conclusion: </w:t>
      </w:r>
      <w:r w:rsidRPr="00077E56">
        <w:rPr>
          <w:rFonts w:ascii="Times New Roman" w:hAnsi="Times New Roman" w:cs="Times New Roman"/>
        </w:rPr>
        <w:t>Pending</w:t>
      </w:r>
    </w:p>
    <w:p w14:paraId="0912C9B5" w14:textId="1F3D4171" w:rsidR="00077E56" w:rsidRDefault="00077E56" w:rsidP="0007657F">
      <w:pPr>
        <w:rPr>
          <w:sz w:val="24"/>
          <w:szCs w:val="24"/>
        </w:rPr>
      </w:pPr>
    </w:p>
    <w:p w14:paraId="0C045B67" w14:textId="1E333F9C" w:rsidR="00077E56" w:rsidRDefault="00077E56" w:rsidP="0007657F">
      <w:pPr>
        <w:rPr>
          <w:sz w:val="24"/>
          <w:szCs w:val="24"/>
        </w:rPr>
      </w:pPr>
    </w:p>
    <w:p w14:paraId="2F1BF833" w14:textId="5F0D7CAA" w:rsidR="00077E56" w:rsidRDefault="00077E56" w:rsidP="0007657F">
      <w:pPr>
        <w:rPr>
          <w:sz w:val="24"/>
          <w:szCs w:val="24"/>
        </w:rPr>
      </w:pPr>
    </w:p>
    <w:p w14:paraId="2374722E" w14:textId="454D222E" w:rsidR="00077E56" w:rsidRDefault="00077E56" w:rsidP="0007657F">
      <w:pPr>
        <w:rPr>
          <w:sz w:val="24"/>
          <w:szCs w:val="24"/>
        </w:rPr>
      </w:pPr>
    </w:p>
    <w:p w14:paraId="3B2525E3" w14:textId="1B2B53E1" w:rsidR="00077E56" w:rsidRDefault="00077E56" w:rsidP="0007657F">
      <w:pPr>
        <w:rPr>
          <w:sz w:val="24"/>
          <w:szCs w:val="24"/>
        </w:rPr>
      </w:pPr>
    </w:p>
    <w:p w14:paraId="48139983" w14:textId="32F5074A" w:rsidR="00077E56" w:rsidRDefault="00077E56" w:rsidP="0007657F">
      <w:pPr>
        <w:rPr>
          <w:sz w:val="24"/>
          <w:szCs w:val="24"/>
        </w:rPr>
      </w:pPr>
    </w:p>
    <w:p w14:paraId="78D252A1" w14:textId="77777777" w:rsidR="00077E56" w:rsidRDefault="00077E56" w:rsidP="00077E5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RATES OF NEPHROTOXICITY WITH INFUSIONAL DCEP (DEXAMETHASONE, CYCLOPHOSPHAMIDE, ETOPOSIDE CISPLATIN)</w:t>
      </w:r>
    </w:p>
    <w:p w14:paraId="37B8E42C" w14:textId="77777777" w:rsidR="00077E56" w:rsidRDefault="00077E56" w:rsidP="00077E5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Molla R</w:t>
      </w:r>
      <w:r>
        <w:rPr>
          <w:rFonts w:ascii="Times New Roman" w:hAnsi="Times New Roman" w:cs="Times New Roman"/>
          <w:sz w:val="24"/>
          <w:szCs w:val="24"/>
        </w:rPr>
        <w:t xml:space="preserve">*, </w:t>
      </w:r>
      <w:r>
        <w:rPr>
          <w:rFonts w:ascii="Times New Roman" w:hAnsi="Times New Roman" w:cs="Times New Roman"/>
          <w:sz w:val="24"/>
          <w:szCs w:val="24"/>
          <w:u w:val="single"/>
        </w:rPr>
        <w:t>Rattu M</w:t>
      </w:r>
      <w:r>
        <w:rPr>
          <w:rFonts w:ascii="Times New Roman" w:hAnsi="Times New Roman" w:cs="Times New Roman"/>
          <w:sz w:val="24"/>
          <w:szCs w:val="24"/>
        </w:rPr>
        <w:t xml:space="preserve">, </w:t>
      </w:r>
      <w:r>
        <w:rPr>
          <w:rFonts w:ascii="Times New Roman" w:hAnsi="Times New Roman" w:cs="Times New Roman"/>
          <w:sz w:val="24"/>
          <w:szCs w:val="24"/>
          <w:u w:val="single"/>
        </w:rPr>
        <w:t>Kim S</w:t>
      </w:r>
    </w:p>
    <w:p w14:paraId="4B164539" w14:textId="77777777" w:rsidR="00077E56" w:rsidRDefault="00077E56" w:rsidP="00077E56">
      <w:pPr>
        <w:spacing w:after="0" w:line="240" w:lineRule="auto"/>
        <w:rPr>
          <w:rFonts w:ascii="Times New Roman" w:hAnsi="Times New Roman" w:cs="Times New Roman"/>
          <w:sz w:val="24"/>
          <w:szCs w:val="24"/>
        </w:rPr>
      </w:pPr>
      <w:r>
        <w:rPr>
          <w:rFonts w:ascii="Times New Roman" w:hAnsi="Times New Roman" w:cs="Times New Roman"/>
          <w:sz w:val="24"/>
          <w:szCs w:val="24"/>
        </w:rPr>
        <w:t>The Mount Sinai Hospital, 1 Gustave L. Levy Place, New York, NY, 10029</w:t>
      </w:r>
    </w:p>
    <w:p w14:paraId="306A825C" w14:textId="77777777" w:rsidR="00077E56" w:rsidRDefault="00077E56" w:rsidP="00077E56">
      <w:pPr>
        <w:spacing w:after="0" w:line="240" w:lineRule="auto"/>
        <w:rPr>
          <w:rFonts w:ascii="Times New Roman" w:hAnsi="Times New Roman" w:cs="Times New Roman"/>
          <w:sz w:val="24"/>
          <w:szCs w:val="24"/>
        </w:rPr>
      </w:pPr>
    </w:p>
    <w:p w14:paraId="0117D76C" w14:textId="77777777" w:rsidR="00077E56" w:rsidRDefault="00077E56" w:rsidP="00077E56">
      <w:pPr>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Background:</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Renal impairment is a frequent complication in multiple myeloma (MM) that makes the use of nephrotoxic agents concerning</w:t>
      </w:r>
      <w:r>
        <w:rPr>
          <w:rFonts w:ascii="Times New Roman" w:hAnsi="Times New Roman" w:cs="Times New Roman"/>
          <w:sz w:val="24"/>
          <w:szCs w:val="24"/>
          <w:shd w:val="clear" w:color="auto" w:fill="FFFFFF"/>
        </w:rPr>
        <w:t xml:space="preserve">. DCEP (dexamethasone, cyclophosphamide, etoposide, and cisplatin) therapy is administered as a continuous intravenous infusion over 96 hours for </w:t>
      </w:r>
      <w:r>
        <w:rPr>
          <w:rFonts w:ascii="Times New Roman" w:hAnsi="Times New Roman" w:cs="Times New Roman"/>
          <w:sz w:val="24"/>
          <w:szCs w:val="24"/>
        </w:rPr>
        <w:t xml:space="preserve">relapsed/refractory </w:t>
      </w:r>
      <w:r>
        <w:rPr>
          <w:rFonts w:ascii="Times New Roman" w:hAnsi="Times New Roman" w:cs="Times New Roman"/>
          <w:sz w:val="24"/>
          <w:szCs w:val="24"/>
          <w:shd w:val="clear" w:color="auto" w:fill="FFFFFF"/>
        </w:rPr>
        <w:t xml:space="preserve">MM patients. Cisplatin is a highly nephrotoxic agent that has been associated with acute kidney injury (AKI) in up to one-third of patients; however, the incidence is unclear with this regimen in MM. </w:t>
      </w:r>
    </w:p>
    <w:p w14:paraId="0AAFEF1A" w14:textId="77777777" w:rsidR="00077E56" w:rsidRDefault="00077E56" w:rsidP="00077E56">
      <w:pPr>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Objective: </w:t>
      </w:r>
      <w:r>
        <w:rPr>
          <w:rFonts w:ascii="Times New Roman" w:hAnsi="Times New Roman" w:cs="Times New Roman"/>
          <w:sz w:val="24"/>
          <w:szCs w:val="24"/>
          <w:shd w:val="clear" w:color="auto" w:fill="FFFFFF"/>
        </w:rPr>
        <w:t xml:space="preserve">Analyze the rates of nephrotoxicity and duration of myelosuppression in MM patients treated with the DCEP regimen. </w:t>
      </w:r>
    </w:p>
    <w:p w14:paraId="1A747A03" w14:textId="77777777" w:rsidR="00077E56" w:rsidRDefault="00077E56" w:rsidP="00077E56">
      <w:pPr>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Methods:</w:t>
      </w:r>
      <w:r>
        <w:rPr>
          <w:rFonts w:ascii="Times New Roman" w:hAnsi="Times New Roman" w:cs="Times New Roman"/>
          <w:sz w:val="24"/>
          <w:szCs w:val="24"/>
          <w:shd w:val="clear" w:color="auto" w:fill="FFFFFF"/>
        </w:rPr>
        <w:t xml:space="preserve"> The proposed study will be a single center, retrospective, electronic medical record review of a random sample of 80 patients with MM who received DCEP therapy between February 2015-February 2020. Patients will be stratified into groups according to baseline renal function, calculated using the Cockcroft-Gault Creatinine Clearance (CrCl) equation. The ranges for renal clearance in each group are based on the institution’s renal dose adjustment protocol for cisplatin therapy. The groups differentiate between patients on hemodialysis, CrCl &lt; 10 mL/min, CrCl 10 mL/min to 50 mL/min, or CrCl &gt; 50 mL/min. AKI will be defined using the KDIGO (Kidney Disease: Improving Global Outcomes) criteria. Primary outcome will be the development of AKI associated with DCEP therapy. Secondary outcomes will be the duration of filgrastim use, duration of neutropenia and thrombocytopenia, duration of neutropenic fever, concomitant use of nephrotoxic agents, and use of intravenous hydration methods.</w:t>
      </w:r>
    </w:p>
    <w:p w14:paraId="01798199" w14:textId="77777777" w:rsidR="00077E56" w:rsidRDefault="00077E56" w:rsidP="00077E56">
      <w:pPr>
        <w:spacing w:after="0" w:line="240" w:lineRule="auto"/>
        <w:rPr>
          <w:rFonts w:ascii="Times New Roman" w:hAnsi="Times New Roman" w:cs="Times New Roman"/>
          <w:sz w:val="24"/>
          <w:szCs w:val="24"/>
        </w:rPr>
      </w:pPr>
      <w:r>
        <w:rPr>
          <w:rFonts w:ascii="Times New Roman" w:hAnsi="Times New Roman" w:cs="Times New Roman"/>
          <w:b/>
          <w:sz w:val="24"/>
          <w:szCs w:val="24"/>
        </w:rPr>
        <w:t>Results:</w:t>
      </w:r>
      <w:r>
        <w:rPr>
          <w:rFonts w:ascii="Times New Roman" w:hAnsi="Times New Roman" w:cs="Times New Roman"/>
          <w:sz w:val="24"/>
          <w:szCs w:val="24"/>
        </w:rPr>
        <w:t xml:space="preserve"> Pending Institutional Review Board approval</w:t>
      </w:r>
    </w:p>
    <w:p w14:paraId="2D6D84C4" w14:textId="77777777" w:rsidR="00077E56" w:rsidRDefault="00077E56" w:rsidP="00077E56">
      <w:pPr>
        <w:spacing w:after="0" w:line="240" w:lineRule="auto"/>
        <w:rPr>
          <w:rFonts w:ascii="Times New Roman" w:hAnsi="Times New Roman" w:cs="Times New Roman"/>
          <w:sz w:val="24"/>
          <w:szCs w:val="24"/>
        </w:rPr>
      </w:pPr>
      <w:r>
        <w:rPr>
          <w:rFonts w:ascii="Times New Roman" w:hAnsi="Times New Roman" w:cs="Times New Roman"/>
          <w:b/>
          <w:sz w:val="24"/>
          <w:szCs w:val="24"/>
        </w:rPr>
        <w:t>Conclusion:</w:t>
      </w:r>
      <w:r>
        <w:rPr>
          <w:rFonts w:ascii="Times New Roman" w:hAnsi="Times New Roman" w:cs="Times New Roman"/>
          <w:sz w:val="24"/>
          <w:szCs w:val="24"/>
        </w:rPr>
        <w:t xml:space="preserve"> Pending</w:t>
      </w:r>
    </w:p>
    <w:p w14:paraId="7D256D68" w14:textId="5D8B1B8C" w:rsidR="00077E56" w:rsidRDefault="00077E56" w:rsidP="0007657F">
      <w:pPr>
        <w:rPr>
          <w:sz w:val="24"/>
          <w:szCs w:val="24"/>
        </w:rPr>
      </w:pPr>
    </w:p>
    <w:p w14:paraId="3CACAA5E" w14:textId="4710B030" w:rsidR="00077E56" w:rsidRDefault="00077E56" w:rsidP="0007657F">
      <w:pPr>
        <w:rPr>
          <w:sz w:val="24"/>
          <w:szCs w:val="24"/>
        </w:rPr>
      </w:pPr>
    </w:p>
    <w:p w14:paraId="66440BAF" w14:textId="5B812824" w:rsidR="00077E56" w:rsidRDefault="00077E56" w:rsidP="0007657F">
      <w:pPr>
        <w:rPr>
          <w:sz w:val="24"/>
          <w:szCs w:val="24"/>
        </w:rPr>
      </w:pPr>
    </w:p>
    <w:p w14:paraId="04EDD8AE" w14:textId="339E3865" w:rsidR="00077E56" w:rsidRDefault="00077E56" w:rsidP="0007657F">
      <w:pPr>
        <w:rPr>
          <w:sz w:val="24"/>
          <w:szCs w:val="24"/>
        </w:rPr>
      </w:pPr>
    </w:p>
    <w:p w14:paraId="57E64279" w14:textId="3790F63F" w:rsidR="00077E56" w:rsidRDefault="00077E56" w:rsidP="0007657F">
      <w:pPr>
        <w:rPr>
          <w:sz w:val="24"/>
          <w:szCs w:val="24"/>
        </w:rPr>
      </w:pPr>
    </w:p>
    <w:p w14:paraId="4F43A401" w14:textId="70F7A163" w:rsidR="00077E56" w:rsidRDefault="00077E56" w:rsidP="0007657F">
      <w:pPr>
        <w:rPr>
          <w:sz w:val="24"/>
          <w:szCs w:val="24"/>
        </w:rPr>
      </w:pPr>
    </w:p>
    <w:p w14:paraId="66F749CD" w14:textId="37D71A9C" w:rsidR="00077E56" w:rsidRDefault="00077E56" w:rsidP="0007657F">
      <w:pPr>
        <w:rPr>
          <w:sz w:val="24"/>
          <w:szCs w:val="24"/>
        </w:rPr>
      </w:pPr>
    </w:p>
    <w:p w14:paraId="5224A40B" w14:textId="62B61DE0" w:rsidR="00077E56" w:rsidRDefault="00077E56" w:rsidP="0007657F">
      <w:pPr>
        <w:rPr>
          <w:sz w:val="24"/>
          <w:szCs w:val="24"/>
        </w:rPr>
      </w:pPr>
    </w:p>
    <w:p w14:paraId="7FA4F915" w14:textId="76F48B3E" w:rsidR="00077E56" w:rsidRDefault="00077E56" w:rsidP="0007657F">
      <w:pPr>
        <w:rPr>
          <w:sz w:val="24"/>
          <w:szCs w:val="24"/>
        </w:rPr>
      </w:pPr>
    </w:p>
    <w:p w14:paraId="1E8ECA07" w14:textId="66E935CC" w:rsidR="00077E56" w:rsidRDefault="00077E56" w:rsidP="0007657F">
      <w:pPr>
        <w:rPr>
          <w:sz w:val="24"/>
          <w:szCs w:val="24"/>
        </w:rPr>
      </w:pPr>
    </w:p>
    <w:p w14:paraId="1BC1C959" w14:textId="745626EF" w:rsidR="00077E56" w:rsidRDefault="00077E56" w:rsidP="0007657F">
      <w:pPr>
        <w:rPr>
          <w:sz w:val="24"/>
          <w:szCs w:val="24"/>
        </w:rPr>
      </w:pPr>
    </w:p>
    <w:p w14:paraId="2820833B" w14:textId="02573133" w:rsidR="00077E56" w:rsidRDefault="00077E56" w:rsidP="0007657F">
      <w:pPr>
        <w:rPr>
          <w:sz w:val="24"/>
          <w:szCs w:val="24"/>
        </w:rPr>
      </w:pPr>
    </w:p>
    <w:p w14:paraId="1F4038CA" w14:textId="77777777" w:rsidR="00077E56" w:rsidRPr="00077E56" w:rsidRDefault="00077E56" w:rsidP="00077E56">
      <w:pPr>
        <w:autoSpaceDE w:val="0"/>
        <w:autoSpaceDN w:val="0"/>
        <w:adjustRightInd w:val="0"/>
        <w:rPr>
          <w:rFonts w:ascii="Times New Roman" w:hAnsi="Times New Roman"/>
          <w:szCs w:val="24"/>
        </w:rPr>
      </w:pPr>
      <w:r w:rsidRPr="00077E56">
        <w:rPr>
          <w:rFonts w:ascii="Times New Roman" w:hAnsi="Times New Roman"/>
          <w:szCs w:val="24"/>
        </w:rPr>
        <w:lastRenderedPageBreak/>
        <w:t xml:space="preserve">INCIDENCE OF HYPER- AND HYPOGLYCEMIA IN PATIENTS CONTINUING NONINSULIN GLUCOSE-LOWERING THERAPIES IN THE INPATIENT SETTING </w:t>
      </w:r>
    </w:p>
    <w:p w14:paraId="7DCF6C6E" w14:textId="77777777" w:rsidR="00077E56" w:rsidRPr="00077E56" w:rsidRDefault="00077E56" w:rsidP="00077E56">
      <w:pPr>
        <w:tabs>
          <w:tab w:val="left" w:pos="2181"/>
        </w:tabs>
        <w:autoSpaceDE w:val="0"/>
        <w:autoSpaceDN w:val="0"/>
        <w:adjustRightInd w:val="0"/>
        <w:ind w:firstLine="720"/>
        <w:rPr>
          <w:rFonts w:ascii="Times New Roman" w:hAnsi="Times New Roman"/>
          <w:szCs w:val="24"/>
        </w:rPr>
      </w:pPr>
    </w:p>
    <w:p w14:paraId="197FAA01" w14:textId="77777777" w:rsidR="00077E56" w:rsidRPr="00077E56" w:rsidRDefault="00077E56" w:rsidP="00077E56">
      <w:pPr>
        <w:autoSpaceDE w:val="0"/>
        <w:autoSpaceDN w:val="0"/>
        <w:adjustRightInd w:val="0"/>
        <w:rPr>
          <w:rFonts w:ascii="Times New Roman" w:hAnsi="Times New Roman"/>
          <w:szCs w:val="24"/>
          <w:u w:val="single"/>
        </w:rPr>
      </w:pPr>
      <w:r w:rsidRPr="00077E56">
        <w:rPr>
          <w:rFonts w:ascii="Times New Roman" w:hAnsi="Times New Roman"/>
          <w:szCs w:val="24"/>
          <w:u w:val="single"/>
        </w:rPr>
        <w:t>Moradi ML*, Sarehkhatoun R, Jamil A, Kazeem S, Friedman-Jakubovics ML</w:t>
      </w:r>
    </w:p>
    <w:p w14:paraId="51A9AD85" w14:textId="77777777" w:rsidR="00077E56" w:rsidRPr="00077E56" w:rsidRDefault="00077E56" w:rsidP="00077E56">
      <w:pPr>
        <w:autoSpaceDE w:val="0"/>
        <w:autoSpaceDN w:val="0"/>
        <w:adjustRightInd w:val="0"/>
        <w:rPr>
          <w:rFonts w:ascii="Times New Roman" w:hAnsi="Times New Roman"/>
          <w:szCs w:val="24"/>
          <w:u w:val="single"/>
        </w:rPr>
      </w:pPr>
    </w:p>
    <w:p w14:paraId="7572BA41" w14:textId="77777777" w:rsidR="00077E56" w:rsidRPr="00077E56" w:rsidRDefault="00077E56" w:rsidP="00077E56">
      <w:pPr>
        <w:rPr>
          <w:rFonts w:ascii="Times New Roman" w:eastAsiaTheme="minorEastAsia" w:hAnsi="Times New Roman"/>
          <w:noProof/>
          <w:szCs w:val="24"/>
        </w:rPr>
      </w:pPr>
      <w:r w:rsidRPr="00077E56">
        <w:rPr>
          <w:rFonts w:ascii="Times New Roman" w:hAnsi="Times New Roman"/>
          <w:szCs w:val="24"/>
        </w:rPr>
        <w:t xml:space="preserve">Kingsbrook Jewish Medical Center, </w:t>
      </w:r>
      <w:r w:rsidRPr="00077E56">
        <w:rPr>
          <w:rFonts w:ascii="Times New Roman" w:eastAsiaTheme="minorEastAsia" w:hAnsi="Times New Roman"/>
          <w:noProof/>
          <w:szCs w:val="24"/>
        </w:rPr>
        <w:t>585 Schenectady Avenue, Brooklyn, NY 11203</w:t>
      </w:r>
    </w:p>
    <w:p w14:paraId="4D6041E1" w14:textId="77777777" w:rsidR="00077E56" w:rsidRPr="00077E56" w:rsidRDefault="00077E56" w:rsidP="00077E56">
      <w:pPr>
        <w:rPr>
          <w:rFonts w:ascii="Times New Roman" w:eastAsiaTheme="minorEastAsia" w:hAnsi="Times New Roman"/>
          <w:noProof/>
          <w:szCs w:val="24"/>
        </w:rPr>
      </w:pPr>
    </w:p>
    <w:p w14:paraId="00CC2EBB" w14:textId="77777777" w:rsidR="00077E56" w:rsidRPr="00077E56" w:rsidRDefault="00077E56" w:rsidP="00077E56">
      <w:pPr>
        <w:rPr>
          <w:rFonts w:ascii="Times New Roman" w:eastAsia="Times New Roman" w:hAnsi="Times New Roman"/>
          <w:szCs w:val="24"/>
        </w:rPr>
      </w:pPr>
      <w:r w:rsidRPr="00077E56">
        <w:rPr>
          <w:rFonts w:ascii="Times New Roman" w:eastAsiaTheme="minorEastAsia" w:hAnsi="Times New Roman"/>
          <w:b/>
          <w:noProof/>
          <w:szCs w:val="24"/>
        </w:rPr>
        <w:t xml:space="preserve">Background: </w:t>
      </w:r>
      <w:r w:rsidRPr="00077E56">
        <w:rPr>
          <w:rFonts w:ascii="Times New Roman" w:eastAsiaTheme="minorEastAsia" w:hAnsi="Times New Roman"/>
          <w:noProof/>
          <w:szCs w:val="24"/>
        </w:rPr>
        <w:t>Both</w:t>
      </w:r>
      <w:r w:rsidRPr="00077E56">
        <w:rPr>
          <w:rFonts w:ascii="Times New Roman" w:hAnsi="Times New Roman"/>
          <w:szCs w:val="24"/>
        </w:rPr>
        <w:t xml:space="preserve"> hyperglycemia and hypoglycemia are associated with adverse outcomes in hospitalized patients. While insulin is the preferred medication for inpatient hyperglycemia management, the American Diabetes Association states that the safety and efficacy of noninsulin glucose-lowering therapies is an area of active research and is supported by some studies. </w:t>
      </w:r>
    </w:p>
    <w:p w14:paraId="3429752E" w14:textId="77777777" w:rsidR="00077E56" w:rsidRPr="00077E56" w:rsidRDefault="00077E56" w:rsidP="00077E56">
      <w:pPr>
        <w:rPr>
          <w:rFonts w:ascii="Times New Roman" w:hAnsi="Times New Roman"/>
          <w:szCs w:val="24"/>
        </w:rPr>
      </w:pPr>
    </w:p>
    <w:p w14:paraId="358136DC" w14:textId="77777777" w:rsidR="00077E56" w:rsidRPr="00077E56" w:rsidRDefault="00077E56" w:rsidP="00077E56">
      <w:pPr>
        <w:rPr>
          <w:rFonts w:ascii="Times New Roman" w:hAnsi="Times New Roman"/>
          <w:szCs w:val="24"/>
        </w:rPr>
      </w:pPr>
      <w:r w:rsidRPr="00077E56">
        <w:rPr>
          <w:rFonts w:ascii="Times New Roman" w:eastAsiaTheme="minorEastAsia" w:hAnsi="Times New Roman"/>
          <w:b/>
          <w:noProof/>
          <w:szCs w:val="24"/>
        </w:rPr>
        <w:t xml:space="preserve">Objective: </w:t>
      </w:r>
      <w:r w:rsidRPr="00077E56">
        <w:rPr>
          <w:rFonts w:ascii="Times New Roman" w:hAnsi="Times New Roman"/>
          <w:szCs w:val="24"/>
        </w:rPr>
        <w:t>To assess the incidence of hypo- and hyperglycemia in patients receiving insulin alone versus insulin plus noninsulin glucose- lowering therapies.</w:t>
      </w:r>
    </w:p>
    <w:p w14:paraId="39227066" w14:textId="77777777" w:rsidR="00077E56" w:rsidRPr="00077E56" w:rsidRDefault="00077E56" w:rsidP="00077E56">
      <w:pPr>
        <w:rPr>
          <w:rFonts w:ascii="Times New Roman" w:eastAsiaTheme="minorEastAsia" w:hAnsi="Times New Roman"/>
          <w:b/>
          <w:noProof/>
          <w:szCs w:val="24"/>
        </w:rPr>
      </w:pPr>
    </w:p>
    <w:p w14:paraId="793ECC5F" w14:textId="77777777" w:rsidR="00077E56" w:rsidRPr="00077E56" w:rsidRDefault="00077E56" w:rsidP="00077E56">
      <w:pPr>
        <w:rPr>
          <w:rFonts w:ascii="Times New Roman" w:eastAsia="Times New Roman" w:hAnsi="Times New Roman"/>
          <w:color w:val="0000FF"/>
          <w:szCs w:val="24"/>
        </w:rPr>
      </w:pPr>
      <w:r w:rsidRPr="00077E56">
        <w:rPr>
          <w:rFonts w:ascii="Times New Roman" w:eastAsiaTheme="minorEastAsia" w:hAnsi="Times New Roman"/>
          <w:b/>
          <w:noProof/>
          <w:szCs w:val="24"/>
        </w:rPr>
        <w:t xml:space="preserve">Methods: </w:t>
      </w:r>
      <w:r w:rsidRPr="00077E56">
        <w:rPr>
          <w:rFonts w:ascii="Times New Roman" w:eastAsiaTheme="minorEastAsia" w:hAnsi="Times New Roman"/>
          <w:noProof/>
          <w:szCs w:val="24"/>
        </w:rPr>
        <w:t xml:space="preserve">This is a retrospective cohort study of patients who received insulin alone or insulin plus noninsulin glucose-lowering therapies while admitted to Kingsbrook Jewish Medical Center between January 2019 and July 2020.  Patients will be included if they were admitted to a general medicine unit and were at least 18 years of age with a diagnosis of Type 2 Diabetes Mellitus and an order for insulin alone or insulin plus noninsulin glucose-lowering therapies. Exclusion critieria included patients that did not have an insulin order or were admitted to an intensive care unit. </w:t>
      </w:r>
      <w:r w:rsidRPr="00077E56">
        <w:rPr>
          <w:rFonts w:ascii="Times New Roman" w:hAnsi="Times New Roman"/>
          <w:noProof/>
          <w:szCs w:val="24"/>
        </w:rPr>
        <w:t xml:space="preserve">The primary endpoint of the study is the number of hypo- and hyperglycemic events per patient days between the two groups. Secondary endpoints of the study are the average total daily dose of insulin and hospital length of stay in patients receiving insulin alone or insulin plus noninsulin glucose-lowering therapies. </w:t>
      </w:r>
    </w:p>
    <w:p w14:paraId="7933581D" w14:textId="77777777" w:rsidR="00077E56" w:rsidRPr="00077E56" w:rsidRDefault="00077E56" w:rsidP="00077E56">
      <w:pPr>
        <w:rPr>
          <w:rFonts w:ascii="Times New Roman" w:eastAsiaTheme="minorEastAsia" w:hAnsi="Times New Roman"/>
          <w:b/>
          <w:noProof/>
          <w:szCs w:val="24"/>
        </w:rPr>
      </w:pPr>
    </w:p>
    <w:p w14:paraId="41C83743" w14:textId="77777777" w:rsidR="00077E56" w:rsidRPr="00077E56" w:rsidRDefault="00077E56" w:rsidP="00077E56">
      <w:pPr>
        <w:rPr>
          <w:rFonts w:ascii="Times New Roman" w:eastAsiaTheme="minorEastAsia" w:hAnsi="Times New Roman"/>
          <w:b/>
          <w:noProof/>
          <w:szCs w:val="24"/>
        </w:rPr>
      </w:pPr>
      <w:r w:rsidRPr="00077E56">
        <w:rPr>
          <w:rFonts w:ascii="Times New Roman" w:eastAsiaTheme="minorEastAsia" w:hAnsi="Times New Roman"/>
          <w:b/>
          <w:noProof/>
          <w:szCs w:val="24"/>
        </w:rPr>
        <w:t xml:space="preserve">Results: </w:t>
      </w:r>
      <w:r w:rsidRPr="00077E56">
        <w:rPr>
          <w:rFonts w:ascii="Times New Roman" w:eastAsiaTheme="minorEastAsia" w:hAnsi="Times New Roman"/>
          <w:noProof/>
          <w:szCs w:val="24"/>
        </w:rPr>
        <w:t>Pending</w:t>
      </w:r>
    </w:p>
    <w:p w14:paraId="38FCE061" w14:textId="77777777" w:rsidR="00077E56" w:rsidRPr="00077E56" w:rsidRDefault="00077E56" w:rsidP="00077E56">
      <w:pPr>
        <w:rPr>
          <w:rFonts w:ascii="Times New Roman" w:eastAsiaTheme="minorEastAsia" w:hAnsi="Times New Roman"/>
          <w:b/>
          <w:noProof/>
          <w:szCs w:val="24"/>
        </w:rPr>
      </w:pPr>
    </w:p>
    <w:p w14:paraId="5838B750" w14:textId="77777777" w:rsidR="00077E56" w:rsidRPr="00077E56" w:rsidRDefault="00077E56" w:rsidP="00077E56">
      <w:pPr>
        <w:rPr>
          <w:rFonts w:ascii="Times New Roman" w:eastAsia="Times New Roman" w:hAnsi="Times New Roman"/>
          <w:szCs w:val="24"/>
        </w:rPr>
      </w:pPr>
      <w:r w:rsidRPr="00077E56">
        <w:rPr>
          <w:rFonts w:ascii="Times New Roman" w:eastAsiaTheme="minorEastAsia" w:hAnsi="Times New Roman"/>
          <w:b/>
          <w:noProof/>
          <w:szCs w:val="24"/>
        </w:rPr>
        <w:t xml:space="preserve">Conclusions: </w:t>
      </w:r>
      <w:r w:rsidRPr="00077E56">
        <w:rPr>
          <w:rFonts w:ascii="Times New Roman" w:hAnsi="Times New Roman"/>
          <w:szCs w:val="24"/>
        </w:rPr>
        <w:t xml:space="preserve">This study will identify rates of hypo- and hyperglycemia in patients receiving insulin alone versus insulin plus noninsulin glucose-lowering therapies to further elucidate the role of noninsulin glucose-lowering therapies in the management of inpatient hyperglycemia.    </w:t>
      </w:r>
    </w:p>
    <w:p w14:paraId="12DD5C3F" w14:textId="77777777" w:rsidR="00077E56" w:rsidRDefault="00077E56" w:rsidP="00077E56">
      <w:pPr>
        <w:rPr>
          <w:rFonts w:ascii="Courier" w:hAnsi="Courier"/>
          <w:sz w:val="24"/>
        </w:rPr>
      </w:pPr>
    </w:p>
    <w:p w14:paraId="66071EEF" w14:textId="51288ABE" w:rsidR="00077E56" w:rsidRDefault="00077E56" w:rsidP="0007657F">
      <w:pPr>
        <w:rPr>
          <w:sz w:val="24"/>
          <w:szCs w:val="24"/>
        </w:rPr>
      </w:pPr>
    </w:p>
    <w:p w14:paraId="1B5F7B29" w14:textId="39048918" w:rsidR="00077E56" w:rsidRDefault="00077E56" w:rsidP="0007657F">
      <w:pPr>
        <w:rPr>
          <w:sz w:val="24"/>
          <w:szCs w:val="24"/>
        </w:rPr>
      </w:pPr>
    </w:p>
    <w:p w14:paraId="7E0C3635" w14:textId="35887CF3" w:rsidR="00077E56" w:rsidRDefault="00077E56" w:rsidP="0007657F">
      <w:pPr>
        <w:rPr>
          <w:sz w:val="24"/>
          <w:szCs w:val="24"/>
        </w:rPr>
      </w:pPr>
    </w:p>
    <w:p w14:paraId="502E4D1E" w14:textId="1B5165BF" w:rsidR="00077E56" w:rsidRDefault="00077E56" w:rsidP="0007657F">
      <w:pPr>
        <w:rPr>
          <w:sz w:val="24"/>
          <w:szCs w:val="24"/>
        </w:rPr>
      </w:pPr>
    </w:p>
    <w:p w14:paraId="7A3EC72D" w14:textId="77777777" w:rsidR="00077E56" w:rsidRPr="00077E56" w:rsidRDefault="00077E56" w:rsidP="00077E56">
      <w:pPr>
        <w:spacing w:after="0" w:line="240" w:lineRule="auto"/>
        <w:rPr>
          <w:rFonts w:ascii="Times New Roman" w:eastAsia="Times New Roman" w:hAnsi="Times New Roman" w:cs="Times New Roman"/>
        </w:rPr>
      </w:pPr>
      <w:r w:rsidRPr="00077E56">
        <w:rPr>
          <w:rFonts w:ascii="Times New Roman" w:eastAsia="Times New Roman" w:hAnsi="Times New Roman" w:cs="Times New Roman"/>
        </w:rPr>
        <w:lastRenderedPageBreak/>
        <w:t>DO PHARMACY STUDENTS IMPACT THE TIME TO CONVERSION FROM INTRAVENOUS TO ORAL ANTIBIOTICS WHEN FOLLOWING AN AUTOMATIC CONVERSION POLICY IN A COMMUNITY HOSPITAL SETTING?</w:t>
      </w:r>
      <w:r w:rsidRPr="00077E56">
        <w:rPr>
          <w:rFonts w:ascii="Times New Roman" w:eastAsia="Times New Roman" w:hAnsi="Times New Roman" w:cs="Times New Roman"/>
        </w:rPr>
        <w:br/>
      </w:r>
      <w:r w:rsidRPr="00077E56">
        <w:rPr>
          <w:rFonts w:ascii="Times New Roman" w:eastAsia="Times New Roman" w:hAnsi="Times New Roman" w:cs="Times New Roman"/>
        </w:rPr>
        <w:br/>
      </w:r>
      <w:r w:rsidRPr="00077E56">
        <w:rPr>
          <w:rFonts w:ascii="Times New Roman" w:eastAsia="Times New Roman" w:hAnsi="Times New Roman" w:cs="Times New Roman"/>
          <w:u w:val="single"/>
        </w:rPr>
        <w:t>Mortis M*</w:t>
      </w:r>
      <w:r w:rsidRPr="00077E56">
        <w:rPr>
          <w:rFonts w:ascii="Times New Roman" w:eastAsia="Times New Roman" w:hAnsi="Times New Roman" w:cs="Times New Roman"/>
        </w:rPr>
        <w:t xml:space="preserve">, </w:t>
      </w:r>
      <w:r w:rsidRPr="00077E56">
        <w:rPr>
          <w:rFonts w:ascii="Times New Roman" w:eastAsia="Times New Roman" w:hAnsi="Times New Roman" w:cs="Times New Roman"/>
          <w:u w:val="single"/>
        </w:rPr>
        <w:t>Rahme C</w:t>
      </w:r>
      <w:r w:rsidRPr="00077E56">
        <w:rPr>
          <w:rFonts w:ascii="Times New Roman" w:eastAsia="Times New Roman" w:hAnsi="Times New Roman" w:cs="Times New Roman"/>
        </w:rPr>
        <w:t xml:space="preserve">, </w:t>
      </w:r>
      <w:r w:rsidRPr="00077E56">
        <w:rPr>
          <w:rFonts w:ascii="Times New Roman" w:eastAsia="Times New Roman" w:hAnsi="Times New Roman" w:cs="Times New Roman"/>
          <w:u w:val="single"/>
        </w:rPr>
        <w:t>Whalen K</w:t>
      </w:r>
      <w:r w:rsidRPr="00077E56">
        <w:rPr>
          <w:rFonts w:ascii="Times New Roman" w:eastAsia="Times New Roman" w:hAnsi="Times New Roman" w:cs="Times New Roman"/>
        </w:rPr>
        <w:t xml:space="preserve">, </w:t>
      </w:r>
      <w:r w:rsidRPr="00077E56">
        <w:rPr>
          <w:rFonts w:ascii="Times New Roman" w:eastAsia="Times New Roman" w:hAnsi="Times New Roman" w:cs="Times New Roman"/>
          <w:u w:val="single"/>
        </w:rPr>
        <w:t>Dennis A,</w:t>
      </w:r>
      <w:r w:rsidRPr="00077E56">
        <w:rPr>
          <w:rFonts w:ascii="Times New Roman" w:eastAsia="Times New Roman" w:hAnsi="Times New Roman" w:cs="Times New Roman"/>
        </w:rPr>
        <w:t xml:space="preserve"> </w:t>
      </w:r>
      <w:r w:rsidRPr="00077E56">
        <w:rPr>
          <w:rFonts w:ascii="Times New Roman" w:eastAsia="Times New Roman" w:hAnsi="Times New Roman" w:cs="Times New Roman"/>
          <w:u w:val="single"/>
        </w:rPr>
        <w:t>Avery L</w:t>
      </w:r>
      <w:r w:rsidRPr="00077E56">
        <w:rPr>
          <w:rFonts w:ascii="Times New Roman" w:eastAsia="Times New Roman" w:hAnsi="Times New Roman" w:cs="Times New Roman"/>
        </w:rPr>
        <w:t xml:space="preserve"> </w:t>
      </w:r>
    </w:p>
    <w:p w14:paraId="556C08A6" w14:textId="77777777" w:rsidR="00077E56" w:rsidRPr="00077E56" w:rsidRDefault="00077E56" w:rsidP="00077E56">
      <w:pPr>
        <w:spacing w:after="0" w:line="240" w:lineRule="auto"/>
        <w:rPr>
          <w:rFonts w:ascii="Times New Roman" w:eastAsia="Times New Roman" w:hAnsi="Times New Roman" w:cs="Times New Roman"/>
        </w:rPr>
      </w:pPr>
    </w:p>
    <w:p w14:paraId="2C94B986" w14:textId="77777777" w:rsidR="00077E56" w:rsidRPr="00077E56" w:rsidRDefault="00077E56" w:rsidP="00077E56">
      <w:pPr>
        <w:spacing w:after="0" w:line="240" w:lineRule="auto"/>
        <w:rPr>
          <w:rFonts w:ascii="Times New Roman" w:eastAsia="Times New Roman" w:hAnsi="Times New Roman" w:cs="Times New Roman"/>
          <w:b/>
          <w:bCs/>
        </w:rPr>
      </w:pPr>
      <w:r w:rsidRPr="00077E56">
        <w:rPr>
          <w:rFonts w:ascii="Times New Roman" w:eastAsia="Times New Roman" w:hAnsi="Times New Roman" w:cs="Times New Roman"/>
        </w:rPr>
        <w:t>St. Joseph’s Hospital Health Center, 301 Prospect Ave, Syracuse, NY 13203</w:t>
      </w:r>
    </w:p>
    <w:p w14:paraId="609E0EC3" w14:textId="77777777" w:rsidR="00077E56" w:rsidRPr="00077E56" w:rsidRDefault="00077E56" w:rsidP="00077E56">
      <w:pPr>
        <w:spacing w:after="0" w:line="240" w:lineRule="auto"/>
        <w:rPr>
          <w:rFonts w:ascii="Times New Roman" w:eastAsia="Times New Roman" w:hAnsi="Times New Roman" w:cs="Times New Roman"/>
        </w:rPr>
      </w:pPr>
      <w:r w:rsidRPr="00077E56">
        <w:rPr>
          <w:rFonts w:ascii="Times New Roman" w:eastAsia="Times New Roman" w:hAnsi="Times New Roman" w:cs="Times New Roman"/>
          <w:b/>
          <w:bCs/>
        </w:rPr>
        <w:br/>
        <w:t>Background:</w:t>
      </w:r>
      <w:r w:rsidRPr="00077E56">
        <w:rPr>
          <w:rFonts w:ascii="Times New Roman" w:eastAsia="Times New Roman" w:hAnsi="Times New Roman" w:cs="Times New Roman"/>
        </w:rPr>
        <w:t xml:space="preserve"> An automatic conversion policy (ACP) allows pharmacists to transition specific antibiotics from IV to PO when clinically appropriate, potentially reducing healthcare costs, length of stay (LOS), and risks for IV-related complications. It is presumed that P4 pharmacy students (P4s) can support the healthcare team by impacting time to conversion (TTC) from IV to PO antibiotics.</w:t>
      </w:r>
      <w:r w:rsidRPr="00077E56">
        <w:rPr>
          <w:rFonts w:ascii="Times New Roman" w:eastAsia="Times New Roman" w:hAnsi="Times New Roman" w:cs="Times New Roman"/>
        </w:rPr>
        <w:br/>
      </w:r>
    </w:p>
    <w:p w14:paraId="2AA93AD0" w14:textId="77777777" w:rsidR="00077E56" w:rsidRPr="00077E56" w:rsidRDefault="00077E56" w:rsidP="00077E56">
      <w:pPr>
        <w:spacing w:after="0" w:line="240" w:lineRule="auto"/>
        <w:rPr>
          <w:rFonts w:ascii="Times New Roman" w:eastAsia="Times New Roman" w:hAnsi="Times New Roman" w:cs="Times New Roman"/>
        </w:rPr>
      </w:pPr>
      <w:r w:rsidRPr="00077E56">
        <w:rPr>
          <w:rFonts w:ascii="Times New Roman" w:eastAsia="Times New Roman" w:hAnsi="Times New Roman" w:cs="Times New Roman"/>
          <w:b/>
          <w:bCs/>
        </w:rPr>
        <w:t xml:space="preserve">Objective: </w:t>
      </w:r>
      <w:r w:rsidRPr="00077E56">
        <w:rPr>
          <w:rFonts w:ascii="Times New Roman" w:eastAsia="Times New Roman" w:hAnsi="Times New Roman" w:cs="Times New Roman"/>
        </w:rPr>
        <w:t>To determine the impact of P4-driven interventions on TTC from IV to PO antibiotics while following an ACP.</w:t>
      </w:r>
    </w:p>
    <w:p w14:paraId="39420D96" w14:textId="77777777" w:rsidR="00077E56" w:rsidRPr="00077E56" w:rsidRDefault="00077E56" w:rsidP="00077E56">
      <w:pPr>
        <w:spacing w:after="0" w:line="240" w:lineRule="auto"/>
        <w:rPr>
          <w:rFonts w:ascii="Times New Roman" w:eastAsia="Times New Roman" w:hAnsi="Times New Roman" w:cs="Times New Roman"/>
          <w:b/>
          <w:bCs/>
        </w:rPr>
      </w:pPr>
      <w:r w:rsidRPr="00077E56">
        <w:rPr>
          <w:rFonts w:ascii="Times New Roman" w:eastAsia="Times New Roman" w:hAnsi="Times New Roman" w:cs="Times New Roman"/>
        </w:rPr>
        <w:br/>
      </w:r>
      <w:r w:rsidRPr="00077E56">
        <w:rPr>
          <w:rFonts w:ascii="Times New Roman" w:eastAsia="Times New Roman" w:hAnsi="Times New Roman" w:cs="Times New Roman"/>
          <w:b/>
          <w:bCs/>
        </w:rPr>
        <w:t xml:space="preserve">Methods: </w:t>
      </w:r>
      <w:r w:rsidRPr="00077E56">
        <w:rPr>
          <w:rFonts w:ascii="Times New Roman" w:eastAsia="Times New Roman" w:hAnsi="Times New Roman" w:cs="Times New Roman"/>
        </w:rPr>
        <w:t>The IRB granted this single-center, retrospective, pre-post study exempt status. The electronic health record was used to identify patients with IV administrations of an ACP antibiotic between 9/22/2019-11/2/2020 (pre-period) and 9/21/2020-12/11/2020 (post-period). Admitted non-ICU patients, ≥18 years, receiving an ACP antibiotic for &gt;48 hours were included. One hour of live ACP and patient assessment education was written by the primary author and provided to P4s. The primary outcome was time between the first IV and PO antibiotic orders, or IV antibiotic discontinuation (including at time of discharge) if conversion to PO did not occur. Secondary outcomes included number of patients reviewed by P4s, number identified for conversion, number converted, LOS, and drug acquisition cost savings.</w:t>
      </w:r>
    </w:p>
    <w:p w14:paraId="36100D08" w14:textId="77777777" w:rsidR="00077E56" w:rsidRPr="00077E56" w:rsidRDefault="00077E56" w:rsidP="00077E56">
      <w:pPr>
        <w:spacing w:line="240" w:lineRule="auto"/>
        <w:rPr>
          <w:rFonts w:ascii="Times New Roman" w:eastAsia="Times New Roman" w:hAnsi="Times New Roman" w:cs="Times New Roman"/>
        </w:rPr>
      </w:pPr>
      <w:r w:rsidRPr="00077E56">
        <w:rPr>
          <w:rFonts w:ascii="Times New Roman" w:eastAsia="Times New Roman" w:hAnsi="Times New Roman" w:cs="Times New Roman"/>
          <w:b/>
          <w:bCs/>
          <w:u w:val="single"/>
        </w:rPr>
        <w:br/>
      </w:r>
      <w:r w:rsidRPr="00077E56">
        <w:rPr>
          <w:rFonts w:ascii="Times New Roman" w:eastAsia="Times New Roman" w:hAnsi="Times New Roman" w:cs="Times New Roman"/>
          <w:b/>
          <w:bCs/>
        </w:rPr>
        <w:t xml:space="preserve">Results: </w:t>
      </w:r>
      <w:r w:rsidRPr="00077E56">
        <w:rPr>
          <w:rFonts w:ascii="Times New Roman" w:eastAsia="Times New Roman" w:hAnsi="Times New Roman" w:cs="Times New Roman"/>
        </w:rPr>
        <w:t>During the pre-period, 375 patients were administered an ACP antibiotic; 102 (27.2%) were included. The median (IQR) TTC was 75 (60.3-98.4) hours, post-period results pending. During the post-period, five P4s spent 118 hours over 12 weeks reviewing 408 patients; 110 were eligible for conversion and 61 were converted. Post-period results are currently unavailable.</w:t>
      </w:r>
    </w:p>
    <w:p w14:paraId="20D0C812" w14:textId="77777777" w:rsidR="00077E56" w:rsidRPr="00077E56" w:rsidRDefault="00077E56" w:rsidP="00077E56">
      <w:pPr>
        <w:spacing w:line="240" w:lineRule="auto"/>
        <w:rPr>
          <w:rFonts w:ascii="Times New Roman" w:eastAsia="Times New Roman" w:hAnsi="Times New Roman" w:cs="Times New Roman"/>
        </w:rPr>
      </w:pPr>
      <w:r w:rsidRPr="00077E56">
        <w:rPr>
          <w:rFonts w:ascii="Times New Roman" w:eastAsia="Times New Roman" w:hAnsi="Times New Roman" w:cs="Times New Roman"/>
          <w:b/>
          <w:bCs/>
        </w:rPr>
        <w:t>Conclusions:</w:t>
      </w:r>
      <w:r w:rsidRPr="00077E56">
        <w:rPr>
          <w:rFonts w:ascii="Times New Roman" w:eastAsia="Times New Roman" w:hAnsi="Times New Roman" w:cs="Times New Roman"/>
        </w:rPr>
        <w:t xml:space="preserve"> Analysis pending post-period data collection.</w:t>
      </w:r>
    </w:p>
    <w:p w14:paraId="1CB90ECE" w14:textId="04981E0E" w:rsidR="00077E56" w:rsidRDefault="00077E56" w:rsidP="0007657F">
      <w:pPr>
        <w:rPr>
          <w:sz w:val="24"/>
          <w:szCs w:val="24"/>
        </w:rPr>
      </w:pPr>
    </w:p>
    <w:p w14:paraId="5AC5A573" w14:textId="6B69069D" w:rsidR="00077E56" w:rsidRDefault="00077E56" w:rsidP="0007657F">
      <w:pPr>
        <w:rPr>
          <w:sz w:val="24"/>
          <w:szCs w:val="24"/>
        </w:rPr>
      </w:pPr>
    </w:p>
    <w:p w14:paraId="372FAD12" w14:textId="3B0F6514" w:rsidR="00077E56" w:rsidRDefault="00077E56" w:rsidP="0007657F">
      <w:pPr>
        <w:rPr>
          <w:sz w:val="24"/>
          <w:szCs w:val="24"/>
        </w:rPr>
      </w:pPr>
    </w:p>
    <w:p w14:paraId="58A58C6D" w14:textId="62091B78" w:rsidR="00077E56" w:rsidRDefault="00077E56" w:rsidP="0007657F">
      <w:pPr>
        <w:rPr>
          <w:sz w:val="24"/>
          <w:szCs w:val="24"/>
        </w:rPr>
      </w:pPr>
    </w:p>
    <w:p w14:paraId="126FBDB0" w14:textId="63CCBC69" w:rsidR="00077E56" w:rsidRDefault="00077E56" w:rsidP="0007657F">
      <w:pPr>
        <w:rPr>
          <w:sz w:val="24"/>
          <w:szCs w:val="24"/>
        </w:rPr>
      </w:pPr>
    </w:p>
    <w:p w14:paraId="4065002E" w14:textId="7DC4BE19" w:rsidR="00077E56" w:rsidRDefault="00077E56" w:rsidP="0007657F">
      <w:pPr>
        <w:rPr>
          <w:sz w:val="24"/>
          <w:szCs w:val="24"/>
        </w:rPr>
      </w:pPr>
    </w:p>
    <w:p w14:paraId="7FBDB9AB" w14:textId="2C88C73D" w:rsidR="00077E56" w:rsidRDefault="00077E56" w:rsidP="0007657F">
      <w:pPr>
        <w:rPr>
          <w:sz w:val="24"/>
          <w:szCs w:val="24"/>
        </w:rPr>
      </w:pPr>
    </w:p>
    <w:p w14:paraId="16503B37" w14:textId="1EFC6E78" w:rsidR="00077E56" w:rsidRDefault="00077E56" w:rsidP="0007657F">
      <w:pPr>
        <w:rPr>
          <w:sz w:val="24"/>
          <w:szCs w:val="24"/>
        </w:rPr>
      </w:pPr>
    </w:p>
    <w:p w14:paraId="5526C1FE" w14:textId="4AED034A" w:rsidR="00077E56" w:rsidRDefault="00077E56" w:rsidP="0007657F">
      <w:pPr>
        <w:rPr>
          <w:sz w:val="24"/>
          <w:szCs w:val="24"/>
        </w:rPr>
      </w:pPr>
    </w:p>
    <w:p w14:paraId="01A41BCF" w14:textId="0FCB7339" w:rsidR="00077E56" w:rsidRDefault="00077E56" w:rsidP="0007657F">
      <w:pPr>
        <w:rPr>
          <w:sz w:val="24"/>
          <w:szCs w:val="24"/>
        </w:rPr>
      </w:pPr>
    </w:p>
    <w:p w14:paraId="0B100CD5" w14:textId="01C8EC0F" w:rsidR="00077E56" w:rsidRDefault="00077E56" w:rsidP="0007657F">
      <w:pPr>
        <w:rPr>
          <w:sz w:val="24"/>
          <w:szCs w:val="24"/>
        </w:rPr>
      </w:pPr>
    </w:p>
    <w:p w14:paraId="04BD1223" w14:textId="77777777" w:rsidR="00077E56" w:rsidRPr="00077E56" w:rsidRDefault="00077E56" w:rsidP="00077E56">
      <w:pPr>
        <w:spacing w:line="240" w:lineRule="auto"/>
        <w:rPr>
          <w:rFonts w:ascii="Times New Roman" w:hAnsi="Times New Roman" w:cs="Times New Roman"/>
        </w:rPr>
      </w:pPr>
      <w:r w:rsidRPr="00077E56">
        <w:rPr>
          <w:rFonts w:ascii="Times New Roman" w:hAnsi="Times New Roman" w:cs="Times New Roman"/>
        </w:rPr>
        <w:lastRenderedPageBreak/>
        <w:t>EVALUATING THE TIME TO ORAL STEP-DOWN THERAPY FOR GRAM-NEGATIVE BLOODSTREAM INFECTIONS ASSOCIATED WITH A GENITOURINARY SOURCE</w:t>
      </w:r>
    </w:p>
    <w:p w14:paraId="646D6BB4" w14:textId="77777777" w:rsidR="00077E56" w:rsidRPr="00077E56" w:rsidRDefault="00077E56" w:rsidP="00077E56">
      <w:pPr>
        <w:spacing w:line="240" w:lineRule="auto"/>
        <w:contextualSpacing/>
        <w:rPr>
          <w:rFonts w:ascii="Times New Roman" w:hAnsi="Times New Roman" w:cs="Times New Roman"/>
          <w:u w:val="single"/>
        </w:rPr>
      </w:pPr>
      <w:r w:rsidRPr="00077E56">
        <w:rPr>
          <w:rFonts w:ascii="Times New Roman" w:hAnsi="Times New Roman" w:cs="Times New Roman"/>
          <w:u w:val="single"/>
        </w:rPr>
        <w:t>Mulvey N*, Nadi L, Doan T</w:t>
      </w:r>
    </w:p>
    <w:p w14:paraId="54C9D1EC" w14:textId="77777777" w:rsidR="00077E56" w:rsidRPr="00077E56" w:rsidRDefault="00077E56" w:rsidP="00077E56">
      <w:pPr>
        <w:spacing w:line="240" w:lineRule="auto"/>
        <w:contextualSpacing/>
        <w:rPr>
          <w:rFonts w:ascii="Times New Roman" w:hAnsi="Times New Roman" w:cs="Times New Roman"/>
        </w:rPr>
      </w:pPr>
      <w:r w:rsidRPr="00077E56">
        <w:rPr>
          <w:rFonts w:ascii="Times New Roman" w:hAnsi="Times New Roman" w:cs="Times New Roman"/>
        </w:rPr>
        <w:t>Long Island Jewish Medical Center, 270-05 76</w:t>
      </w:r>
      <w:r w:rsidRPr="00077E56">
        <w:rPr>
          <w:rFonts w:ascii="Times New Roman" w:hAnsi="Times New Roman" w:cs="Times New Roman"/>
          <w:vertAlign w:val="superscript"/>
        </w:rPr>
        <w:t>th</w:t>
      </w:r>
      <w:r w:rsidRPr="00077E56">
        <w:rPr>
          <w:rFonts w:ascii="Times New Roman" w:hAnsi="Times New Roman" w:cs="Times New Roman"/>
        </w:rPr>
        <w:t xml:space="preserve"> Avenue, New Hyde Park, NY 11040</w:t>
      </w:r>
    </w:p>
    <w:p w14:paraId="5D873C66" w14:textId="77777777" w:rsidR="00077E56" w:rsidRPr="00077E56" w:rsidRDefault="00077E56" w:rsidP="00077E56">
      <w:pPr>
        <w:spacing w:line="240" w:lineRule="auto"/>
        <w:contextualSpacing/>
        <w:rPr>
          <w:rFonts w:ascii="Times New Roman" w:hAnsi="Times New Roman" w:cs="Times New Roman"/>
        </w:rPr>
      </w:pPr>
    </w:p>
    <w:p w14:paraId="282503F3" w14:textId="77777777" w:rsidR="00077E56" w:rsidRPr="00077E56" w:rsidRDefault="00077E56" w:rsidP="00077E56">
      <w:pPr>
        <w:spacing w:line="240" w:lineRule="auto"/>
        <w:contextualSpacing/>
        <w:rPr>
          <w:rFonts w:ascii="Times New Roman" w:hAnsi="Times New Roman" w:cs="Times New Roman"/>
        </w:rPr>
      </w:pPr>
      <w:r w:rsidRPr="00077E56">
        <w:rPr>
          <w:rFonts w:ascii="Times New Roman" w:hAnsi="Times New Roman" w:cs="Times New Roman"/>
          <w:b/>
        </w:rPr>
        <w:t xml:space="preserve">Background: </w:t>
      </w:r>
      <w:r w:rsidRPr="00077E56">
        <w:rPr>
          <w:rFonts w:ascii="Times New Roman" w:hAnsi="Times New Roman" w:cs="Times New Roman"/>
        </w:rPr>
        <w:t>Gram-negative bloodstream infections (BSI) can often present with a genitourinary source. Typical management includes intravenous antibiotics until the patient is stable, after which point therapy can be de-escalated to an appropriate oral agent. This transition can lead to decreased length of stay, avoid central line access, and can improve patient quality of life. There has been conflicting evidence published on what the optimal agent for de-escalation is, with the agent’s oral bioavailability potentially impacting outcomes. While some studies did evaluate whether oral therapy was initiated earlier or later in the antibiotic course, to our knowledge, no study has evaluated when the most appropriate time to oral step-down therapy is, or if the bioavailability of the agent selected for oral therapy impacts outcomes at different time points.</w:t>
      </w:r>
    </w:p>
    <w:p w14:paraId="2F155486" w14:textId="77777777" w:rsidR="00077E56" w:rsidRPr="00077E56" w:rsidRDefault="00077E56" w:rsidP="00077E56">
      <w:pPr>
        <w:spacing w:line="240" w:lineRule="auto"/>
        <w:contextualSpacing/>
        <w:rPr>
          <w:rFonts w:ascii="Times New Roman" w:hAnsi="Times New Roman" w:cs="Times New Roman"/>
          <w:b/>
        </w:rPr>
      </w:pPr>
    </w:p>
    <w:p w14:paraId="60586AF3" w14:textId="77777777" w:rsidR="00077E56" w:rsidRPr="00077E56" w:rsidRDefault="00077E56" w:rsidP="00077E56">
      <w:pPr>
        <w:spacing w:line="240" w:lineRule="auto"/>
        <w:contextualSpacing/>
        <w:rPr>
          <w:rFonts w:ascii="Times New Roman" w:hAnsi="Times New Roman" w:cs="Times New Roman"/>
        </w:rPr>
      </w:pPr>
      <w:r w:rsidRPr="00077E56">
        <w:rPr>
          <w:rFonts w:ascii="Times New Roman" w:hAnsi="Times New Roman" w:cs="Times New Roman"/>
          <w:b/>
        </w:rPr>
        <w:t xml:space="preserve">Objective: </w:t>
      </w:r>
      <w:r w:rsidRPr="00077E56">
        <w:rPr>
          <w:rFonts w:ascii="Times New Roman" w:hAnsi="Times New Roman" w:cs="Times New Roman"/>
        </w:rPr>
        <w:t>The purpose and primary objective of this study is to assess if the time to oral step-down therapy for patients with gram-negative BSI secondary to a genitourinary source impacts clinical success.</w:t>
      </w:r>
    </w:p>
    <w:p w14:paraId="3B0BD70D" w14:textId="77777777" w:rsidR="00077E56" w:rsidRPr="00077E56" w:rsidRDefault="00077E56" w:rsidP="00077E56">
      <w:pPr>
        <w:spacing w:line="240" w:lineRule="auto"/>
        <w:contextualSpacing/>
        <w:rPr>
          <w:rFonts w:ascii="Times New Roman" w:hAnsi="Times New Roman" w:cs="Times New Roman"/>
          <w:b/>
        </w:rPr>
      </w:pPr>
    </w:p>
    <w:p w14:paraId="5045E158" w14:textId="77777777" w:rsidR="00077E56" w:rsidRPr="00077E56" w:rsidRDefault="00077E56" w:rsidP="00077E56">
      <w:pPr>
        <w:spacing w:line="240" w:lineRule="auto"/>
        <w:contextualSpacing/>
        <w:rPr>
          <w:rFonts w:ascii="Times New Roman" w:hAnsi="Times New Roman" w:cs="Times New Roman"/>
        </w:rPr>
      </w:pPr>
      <w:r w:rsidRPr="00077E56">
        <w:rPr>
          <w:rFonts w:ascii="Times New Roman" w:hAnsi="Times New Roman" w:cs="Times New Roman"/>
          <w:b/>
        </w:rPr>
        <w:t xml:space="preserve">Methods: </w:t>
      </w:r>
      <w:r w:rsidRPr="00077E56">
        <w:rPr>
          <w:rFonts w:ascii="Times New Roman" w:hAnsi="Times New Roman" w:cs="Times New Roman"/>
        </w:rPr>
        <w:t>This study was approved by the institutional review board. This was a retrospective observational chart review evaluating patients with a gram-negative BSI from a genitourinary source who received intravenous antibiotics with or without oral antibiotics during the study period of January 2019 to December 2019. Treatment success was measured by evaluating 30-day all-cause mortality, recurrence of infection with the same index organism at 30 days, readmission within 30 days for a related infection, hospital length of stay, and total duration of therapy.</w:t>
      </w:r>
    </w:p>
    <w:p w14:paraId="23E2BBB8" w14:textId="77777777" w:rsidR="00077E56" w:rsidRPr="00077E56" w:rsidRDefault="00077E56" w:rsidP="00077E56">
      <w:pPr>
        <w:spacing w:line="240" w:lineRule="auto"/>
        <w:contextualSpacing/>
        <w:rPr>
          <w:rFonts w:ascii="Times New Roman" w:hAnsi="Times New Roman" w:cs="Times New Roman"/>
          <w:b/>
        </w:rPr>
      </w:pPr>
    </w:p>
    <w:p w14:paraId="4C485803" w14:textId="77777777" w:rsidR="00077E56" w:rsidRPr="00077E56" w:rsidRDefault="00077E56" w:rsidP="00077E56">
      <w:pPr>
        <w:spacing w:line="240" w:lineRule="auto"/>
        <w:contextualSpacing/>
        <w:rPr>
          <w:rFonts w:ascii="Times New Roman" w:hAnsi="Times New Roman" w:cs="Times New Roman"/>
        </w:rPr>
      </w:pPr>
      <w:r w:rsidRPr="00077E56">
        <w:rPr>
          <w:rFonts w:ascii="Times New Roman" w:hAnsi="Times New Roman" w:cs="Times New Roman"/>
          <w:b/>
        </w:rPr>
        <w:t xml:space="preserve">Results: </w:t>
      </w:r>
      <w:r w:rsidRPr="00077E56">
        <w:rPr>
          <w:rFonts w:ascii="Times New Roman" w:hAnsi="Times New Roman" w:cs="Times New Roman"/>
        </w:rPr>
        <w:t>Research in progress</w:t>
      </w:r>
    </w:p>
    <w:p w14:paraId="0E654096" w14:textId="77777777" w:rsidR="00077E56" w:rsidRPr="00077E56" w:rsidRDefault="00077E56" w:rsidP="00077E56">
      <w:pPr>
        <w:spacing w:line="240" w:lineRule="auto"/>
        <w:contextualSpacing/>
        <w:rPr>
          <w:rFonts w:ascii="Times New Roman" w:hAnsi="Times New Roman" w:cs="Times New Roman"/>
          <w:b/>
        </w:rPr>
      </w:pPr>
    </w:p>
    <w:p w14:paraId="5D6B77A2" w14:textId="77777777" w:rsidR="00077E56" w:rsidRPr="00077E56" w:rsidRDefault="00077E56" w:rsidP="00077E56">
      <w:pPr>
        <w:spacing w:line="240" w:lineRule="auto"/>
        <w:contextualSpacing/>
        <w:rPr>
          <w:rFonts w:ascii="Times New Roman" w:hAnsi="Times New Roman" w:cs="Times New Roman"/>
        </w:rPr>
      </w:pPr>
      <w:r w:rsidRPr="00077E56">
        <w:rPr>
          <w:rFonts w:ascii="Times New Roman" w:hAnsi="Times New Roman" w:cs="Times New Roman"/>
          <w:b/>
        </w:rPr>
        <w:t xml:space="preserve">Conclusions: </w:t>
      </w:r>
      <w:r w:rsidRPr="00077E56">
        <w:rPr>
          <w:rFonts w:ascii="Times New Roman" w:hAnsi="Times New Roman" w:cs="Times New Roman"/>
        </w:rPr>
        <w:t>Research in progress</w:t>
      </w:r>
    </w:p>
    <w:p w14:paraId="1414BEC6" w14:textId="7ED96414" w:rsidR="00077E56" w:rsidRDefault="00077E56" w:rsidP="0007657F">
      <w:pPr>
        <w:rPr>
          <w:sz w:val="24"/>
          <w:szCs w:val="24"/>
        </w:rPr>
      </w:pPr>
    </w:p>
    <w:p w14:paraId="74E1587C" w14:textId="040C8BC1" w:rsidR="00077E56" w:rsidRDefault="00077E56" w:rsidP="0007657F">
      <w:pPr>
        <w:rPr>
          <w:sz w:val="24"/>
          <w:szCs w:val="24"/>
        </w:rPr>
      </w:pPr>
    </w:p>
    <w:p w14:paraId="705A2495" w14:textId="4D3A4E2E" w:rsidR="00077E56" w:rsidRDefault="00077E56" w:rsidP="0007657F">
      <w:pPr>
        <w:rPr>
          <w:sz w:val="24"/>
          <w:szCs w:val="24"/>
        </w:rPr>
      </w:pPr>
    </w:p>
    <w:p w14:paraId="50D623D6" w14:textId="42299C83" w:rsidR="00077E56" w:rsidRDefault="00077E56" w:rsidP="0007657F">
      <w:pPr>
        <w:rPr>
          <w:sz w:val="24"/>
          <w:szCs w:val="24"/>
        </w:rPr>
      </w:pPr>
    </w:p>
    <w:p w14:paraId="51662A47" w14:textId="5770B3B8" w:rsidR="00077E56" w:rsidRDefault="00077E56" w:rsidP="0007657F">
      <w:pPr>
        <w:rPr>
          <w:sz w:val="24"/>
          <w:szCs w:val="24"/>
        </w:rPr>
      </w:pPr>
    </w:p>
    <w:p w14:paraId="19AB7017" w14:textId="60F7D874" w:rsidR="00077E56" w:rsidRDefault="00077E56" w:rsidP="0007657F">
      <w:pPr>
        <w:rPr>
          <w:sz w:val="24"/>
          <w:szCs w:val="24"/>
        </w:rPr>
      </w:pPr>
    </w:p>
    <w:p w14:paraId="1F37B987" w14:textId="37D52C49" w:rsidR="00077E56" w:rsidRDefault="00077E56" w:rsidP="0007657F">
      <w:pPr>
        <w:rPr>
          <w:sz w:val="24"/>
          <w:szCs w:val="24"/>
        </w:rPr>
      </w:pPr>
    </w:p>
    <w:p w14:paraId="0810C7DC" w14:textId="06D00683" w:rsidR="00077E56" w:rsidRDefault="00077E56" w:rsidP="0007657F">
      <w:pPr>
        <w:rPr>
          <w:sz w:val="24"/>
          <w:szCs w:val="24"/>
        </w:rPr>
      </w:pPr>
    </w:p>
    <w:p w14:paraId="75967CEB" w14:textId="29433F74" w:rsidR="00077E56" w:rsidRDefault="00077E56" w:rsidP="0007657F">
      <w:pPr>
        <w:rPr>
          <w:sz w:val="24"/>
          <w:szCs w:val="24"/>
        </w:rPr>
      </w:pPr>
    </w:p>
    <w:p w14:paraId="13E61731" w14:textId="7D14624D" w:rsidR="00077E56" w:rsidRDefault="00077E56" w:rsidP="0007657F">
      <w:pPr>
        <w:rPr>
          <w:sz w:val="24"/>
          <w:szCs w:val="24"/>
        </w:rPr>
      </w:pPr>
    </w:p>
    <w:p w14:paraId="120C2A52" w14:textId="77C0597D" w:rsidR="00077E56" w:rsidRDefault="00077E56" w:rsidP="0007657F">
      <w:pPr>
        <w:rPr>
          <w:sz w:val="24"/>
          <w:szCs w:val="24"/>
        </w:rPr>
      </w:pPr>
    </w:p>
    <w:p w14:paraId="2935F81D" w14:textId="167C3300" w:rsidR="00077E56" w:rsidRDefault="00077E56" w:rsidP="0007657F">
      <w:pPr>
        <w:rPr>
          <w:sz w:val="24"/>
          <w:szCs w:val="24"/>
        </w:rPr>
      </w:pPr>
    </w:p>
    <w:p w14:paraId="68ABF10A" w14:textId="77777777" w:rsidR="00077E56" w:rsidRPr="00077E56" w:rsidRDefault="00077E56" w:rsidP="00077E56">
      <w:pPr>
        <w:pStyle w:val="TitleBUCUpper"/>
        <w:rPr>
          <w:caps w:val="0"/>
          <w:sz w:val="22"/>
          <w:szCs w:val="22"/>
          <w:u w:val="none"/>
        </w:rPr>
      </w:pPr>
      <w:r w:rsidRPr="00077E56">
        <w:rPr>
          <w:rFonts w:eastAsiaTheme="minorHAnsi"/>
          <w:caps w:val="0"/>
          <w:sz w:val="22"/>
          <w:szCs w:val="22"/>
          <w:u w:val="none"/>
        </w:rPr>
        <w:lastRenderedPageBreak/>
        <w:t>SAFETY OF THERAPEUTIC ANTICOAGULATION IN CRITICALLY ILL COVID-19 POSITIVE PATIENTS</w:t>
      </w:r>
    </w:p>
    <w:p w14:paraId="274B0066" w14:textId="77777777" w:rsidR="00077E56" w:rsidRPr="00077E56" w:rsidRDefault="00077E56" w:rsidP="00077E56">
      <w:pPr>
        <w:rPr>
          <w:rFonts w:ascii="Times New Roman" w:hAnsi="Times New Roman" w:cs="Times New Roman"/>
          <w:bCs/>
          <w:u w:val="single"/>
        </w:rPr>
      </w:pPr>
      <w:r w:rsidRPr="00077E56">
        <w:rPr>
          <w:rFonts w:ascii="Times New Roman" w:hAnsi="Times New Roman" w:cs="Times New Roman"/>
          <w:bCs/>
          <w:u w:val="single"/>
        </w:rPr>
        <w:t>Ofori-Kyerewah J*</w:t>
      </w:r>
      <w:r w:rsidRPr="00077E56">
        <w:rPr>
          <w:rFonts w:ascii="Times New Roman" w:hAnsi="Times New Roman" w:cs="Times New Roman"/>
          <w:bCs/>
        </w:rPr>
        <w:t xml:space="preserve">, </w:t>
      </w:r>
      <w:r w:rsidRPr="00077E56">
        <w:rPr>
          <w:rFonts w:ascii="Times New Roman" w:hAnsi="Times New Roman" w:cs="Times New Roman"/>
          <w:bCs/>
          <w:u w:val="single"/>
        </w:rPr>
        <w:t>Sharabun</w:t>
      </w:r>
      <w:r w:rsidRPr="00077E56">
        <w:rPr>
          <w:rFonts w:ascii="Times New Roman" w:hAnsi="Times New Roman" w:cs="Times New Roman"/>
          <w:bCs/>
          <w:caps/>
          <w:u w:val="single"/>
        </w:rPr>
        <w:t xml:space="preserve"> M</w:t>
      </w:r>
      <w:r w:rsidRPr="00077E56">
        <w:rPr>
          <w:rFonts w:ascii="Times New Roman" w:hAnsi="Times New Roman" w:cs="Times New Roman"/>
          <w:bCs/>
          <w:caps/>
        </w:rPr>
        <w:t xml:space="preserve">, </w:t>
      </w:r>
      <w:r w:rsidRPr="00077E56">
        <w:rPr>
          <w:rFonts w:ascii="Times New Roman" w:hAnsi="Times New Roman" w:cs="Times New Roman"/>
          <w:bCs/>
          <w:u w:val="single"/>
        </w:rPr>
        <w:t>Yugay A, Diaz-Fuentes</w:t>
      </w:r>
      <w:r w:rsidRPr="00077E56">
        <w:rPr>
          <w:rFonts w:ascii="Times New Roman" w:hAnsi="Times New Roman" w:cs="Times New Roman"/>
          <w:bCs/>
          <w:caps/>
          <w:u w:val="single"/>
        </w:rPr>
        <w:t xml:space="preserve"> </w:t>
      </w:r>
      <w:r w:rsidRPr="00077E56">
        <w:rPr>
          <w:rFonts w:ascii="Times New Roman" w:hAnsi="Times New Roman" w:cs="Times New Roman"/>
          <w:bCs/>
          <w:u w:val="single"/>
        </w:rPr>
        <w:t>G</w:t>
      </w:r>
      <w:r w:rsidRPr="00077E56">
        <w:rPr>
          <w:rFonts w:ascii="Times New Roman" w:hAnsi="Times New Roman" w:cs="Times New Roman"/>
          <w:bCs/>
        </w:rPr>
        <w:t xml:space="preserve">, </w:t>
      </w:r>
      <w:r w:rsidRPr="00077E56">
        <w:rPr>
          <w:rFonts w:ascii="Times New Roman" w:hAnsi="Times New Roman" w:cs="Times New Roman"/>
          <w:bCs/>
          <w:u w:val="single"/>
        </w:rPr>
        <w:t>Kang</w:t>
      </w:r>
      <w:r w:rsidRPr="00077E56">
        <w:rPr>
          <w:rFonts w:ascii="Times New Roman" w:hAnsi="Times New Roman" w:cs="Times New Roman"/>
          <w:bCs/>
          <w:caps/>
          <w:u w:val="single"/>
        </w:rPr>
        <w:t xml:space="preserve"> K</w:t>
      </w:r>
      <w:r w:rsidRPr="00077E56">
        <w:rPr>
          <w:rFonts w:ascii="Times New Roman" w:hAnsi="Times New Roman" w:cs="Times New Roman"/>
          <w:bCs/>
          <w:caps/>
        </w:rPr>
        <w:t xml:space="preserve">, </w:t>
      </w:r>
      <w:r w:rsidRPr="00077E56">
        <w:rPr>
          <w:rFonts w:ascii="Times New Roman" w:hAnsi="Times New Roman" w:cs="Times New Roman"/>
          <w:bCs/>
          <w:u w:val="single"/>
        </w:rPr>
        <w:t>Schiller</w:t>
      </w:r>
      <w:r w:rsidRPr="00077E56">
        <w:rPr>
          <w:rFonts w:ascii="Times New Roman" w:hAnsi="Times New Roman" w:cs="Times New Roman"/>
          <w:bCs/>
          <w:caps/>
          <w:u w:val="single"/>
        </w:rPr>
        <w:t xml:space="preserve"> L</w:t>
      </w:r>
    </w:p>
    <w:p w14:paraId="035B14E3" w14:textId="77777777" w:rsidR="00077E56" w:rsidRPr="00077E56" w:rsidRDefault="00077E56" w:rsidP="00077E56">
      <w:pPr>
        <w:rPr>
          <w:rFonts w:ascii="Times New Roman" w:hAnsi="Times New Roman" w:cs="Times New Roman"/>
          <w:bCs/>
        </w:rPr>
      </w:pPr>
      <w:r w:rsidRPr="00077E56">
        <w:rPr>
          <w:rFonts w:ascii="Times New Roman" w:hAnsi="Times New Roman" w:cs="Times New Roman"/>
          <w:bCs/>
        </w:rPr>
        <w:t>BronxCare Health System, 1650 Grand Concourse, Bronx, NY 10457</w:t>
      </w:r>
    </w:p>
    <w:p w14:paraId="583CF50C" w14:textId="77777777" w:rsidR="00077E56" w:rsidRPr="00077E56" w:rsidRDefault="00077E56" w:rsidP="00077E56">
      <w:pPr>
        <w:rPr>
          <w:rFonts w:ascii="Times New Roman" w:hAnsi="Times New Roman" w:cs="Times New Roman"/>
          <w:bCs/>
        </w:rPr>
      </w:pPr>
    </w:p>
    <w:p w14:paraId="3591AA1F" w14:textId="77777777" w:rsidR="00077E56" w:rsidRPr="00077E56" w:rsidRDefault="00077E56" w:rsidP="00077E56">
      <w:pPr>
        <w:rPr>
          <w:rFonts w:ascii="Times New Roman" w:hAnsi="Times New Roman" w:cs="Times New Roman"/>
          <w:shd w:val="clear" w:color="auto" w:fill="FFFFFF"/>
        </w:rPr>
      </w:pPr>
      <w:r w:rsidRPr="00077E56">
        <w:rPr>
          <w:rFonts w:ascii="Times New Roman" w:hAnsi="Times New Roman" w:cs="Times New Roman"/>
          <w:b/>
          <w:bCs/>
        </w:rPr>
        <w:t>BACKGROUND:</w:t>
      </w:r>
      <w:r w:rsidRPr="00077E56">
        <w:rPr>
          <w:rFonts w:ascii="Times New Roman" w:hAnsi="Times New Roman" w:cs="Times New Roman"/>
        </w:rPr>
        <w:t xml:space="preserve"> Hospitalized patients with COVID-19 develop thrombotic complications such as </w:t>
      </w:r>
      <w:r w:rsidRPr="00077E56">
        <w:rPr>
          <w:rFonts w:ascii="Times New Roman" w:hAnsi="Times New Roman" w:cs="Times New Roman"/>
          <w:shd w:val="clear" w:color="auto" w:fill="FFFFFF"/>
        </w:rPr>
        <w:t>deep vein thrombosis (DVT) and pulmonary embolism (PE) as a result of ab</w:t>
      </w:r>
      <w:r w:rsidRPr="00077E56">
        <w:rPr>
          <w:rFonts w:ascii="Times New Roman" w:hAnsi="Times New Roman" w:cs="Times New Roman"/>
        </w:rPr>
        <w:t xml:space="preserve">normalities in coagulation markers. </w:t>
      </w:r>
      <w:r w:rsidRPr="00077E56">
        <w:rPr>
          <w:rFonts w:ascii="Times New Roman" w:hAnsi="Times New Roman" w:cs="Times New Roman"/>
          <w:shd w:val="clear" w:color="auto" w:fill="FFFFFF"/>
        </w:rPr>
        <w:t xml:space="preserve">Current guidelines from the CHEST </w:t>
      </w:r>
      <w:r w:rsidRPr="00077E56">
        <w:rPr>
          <w:rFonts w:ascii="Times New Roman" w:hAnsi="Times New Roman" w:cs="Times New Roman"/>
        </w:rPr>
        <w:t>Pulmonary and Cardiovascular recommend</w:t>
      </w:r>
      <w:r w:rsidRPr="00077E56">
        <w:rPr>
          <w:rFonts w:ascii="Times New Roman" w:hAnsi="Times New Roman" w:cs="Times New Roman"/>
          <w:shd w:val="clear" w:color="auto" w:fill="FFFFFF"/>
        </w:rPr>
        <w:t xml:space="preserve"> for </w:t>
      </w:r>
      <w:r w:rsidRPr="00077E56">
        <w:rPr>
          <w:rFonts w:ascii="Times New Roman" w:hAnsi="Times New Roman" w:cs="Times New Roman"/>
        </w:rPr>
        <w:t xml:space="preserve">patients with confirmed radiographic evidence or high clinical suspicion of thromboembolic disease to receive parenteral anticoagulation with therapeutic LMWH, IV UFH, apixaban or rivaroxaban. </w:t>
      </w:r>
      <w:r w:rsidRPr="00077E56">
        <w:rPr>
          <w:rFonts w:ascii="Times New Roman" w:hAnsi="Times New Roman" w:cs="Times New Roman"/>
          <w:shd w:val="clear" w:color="auto" w:fill="FFFFFF"/>
        </w:rPr>
        <w:t xml:space="preserve">However, there is insufficient data to evaluate the safety and efficacy of therapeutic doses of these thrombolytic agents </w:t>
      </w:r>
      <w:r w:rsidRPr="00077E56">
        <w:rPr>
          <w:rFonts w:ascii="Times New Roman" w:hAnsi="Times New Roman" w:cs="Times New Roman"/>
        </w:rPr>
        <w:t xml:space="preserve">for the treatment and prevention of COVID-19–related microthrombotic disorders in hospitalized patients. </w:t>
      </w:r>
    </w:p>
    <w:p w14:paraId="30383C28" w14:textId="77777777" w:rsidR="00077E56" w:rsidRPr="00077E56" w:rsidRDefault="00077E56" w:rsidP="00077E56">
      <w:pPr>
        <w:rPr>
          <w:rFonts w:ascii="Times New Roman" w:hAnsi="Times New Roman" w:cs="Times New Roman"/>
        </w:rPr>
      </w:pPr>
    </w:p>
    <w:p w14:paraId="78689CA6" w14:textId="77777777" w:rsidR="00077E56" w:rsidRPr="00077E56" w:rsidRDefault="00077E56" w:rsidP="00077E56">
      <w:pPr>
        <w:rPr>
          <w:rFonts w:ascii="Times New Roman" w:hAnsi="Times New Roman" w:cs="Times New Roman"/>
        </w:rPr>
      </w:pPr>
      <w:r w:rsidRPr="00077E56">
        <w:rPr>
          <w:rFonts w:ascii="Times New Roman" w:hAnsi="Times New Roman" w:cs="Times New Roman"/>
          <w:b/>
          <w:bCs/>
        </w:rPr>
        <w:t xml:space="preserve">OBJECTIVE: </w:t>
      </w:r>
      <w:r w:rsidRPr="00077E56">
        <w:rPr>
          <w:rFonts w:ascii="Times New Roman" w:hAnsi="Times New Roman" w:cs="Times New Roman"/>
        </w:rPr>
        <w:t>This study aims to evaluate the safety of therapeutic anticoagulation in critically ill patients with COVID-19. It also aims to investigate patients’ survival to discharge if treated with therapeutic anticoagulation.</w:t>
      </w:r>
    </w:p>
    <w:p w14:paraId="604E8F81" w14:textId="77777777" w:rsidR="00077E56" w:rsidRPr="00077E56" w:rsidRDefault="00077E56" w:rsidP="00077E56">
      <w:pPr>
        <w:rPr>
          <w:rFonts w:ascii="Times New Roman" w:hAnsi="Times New Roman" w:cs="Times New Roman"/>
        </w:rPr>
      </w:pPr>
    </w:p>
    <w:p w14:paraId="40E423CD" w14:textId="77777777" w:rsidR="00077E56" w:rsidRPr="00077E56" w:rsidRDefault="00077E56" w:rsidP="00077E56">
      <w:pPr>
        <w:rPr>
          <w:rFonts w:ascii="Times New Roman" w:hAnsi="Times New Roman" w:cs="Times New Roman"/>
          <w:bCs/>
        </w:rPr>
      </w:pPr>
      <w:r w:rsidRPr="00077E56">
        <w:rPr>
          <w:rFonts w:ascii="Times New Roman" w:hAnsi="Times New Roman" w:cs="Times New Roman"/>
          <w:b/>
          <w:bCs/>
        </w:rPr>
        <w:t xml:space="preserve">METHODS: </w:t>
      </w:r>
      <w:r w:rsidRPr="00077E56">
        <w:rPr>
          <w:rFonts w:ascii="Times New Roman" w:hAnsi="Times New Roman" w:cs="Times New Roman"/>
        </w:rPr>
        <w:t>This is a</w:t>
      </w:r>
      <w:r w:rsidRPr="00077E56">
        <w:rPr>
          <w:rFonts w:ascii="Times New Roman" w:hAnsi="Times New Roman" w:cs="Times New Roman"/>
          <w:b/>
          <w:bCs/>
        </w:rPr>
        <w:t xml:space="preserve"> </w:t>
      </w:r>
      <w:r w:rsidRPr="00077E56">
        <w:rPr>
          <w:rFonts w:ascii="Times New Roman" w:hAnsi="Times New Roman" w:cs="Times New Roman"/>
        </w:rPr>
        <w:t xml:space="preserve">retrospective chart review in hospitalized COVID-19 positive patients who were initially started on therapeutic anticoagulation with either enoxaparin or apixaban with suspected or confirmed DVT/PE from 03/1/20 to </w:t>
      </w:r>
      <w:r w:rsidRPr="00077E56">
        <w:rPr>
          <w:rFonts w:ascii="Times New Roman" w:hAnsi="Times New Roman" w:cs="Times New Roman"/>
          <w:bCs/>
        </w:rPr>
        <w:t>06/30/20</w:t>
      </w:r>
      <w:r w:rsidRPr="00077E56">
        <w:rPr>
          <w:rFonts w:ascii="Times New Roman" w:hAnsi="Times New Roman" w:cs="Times New Roman"/>
        </w:rPr>
        <w:t>. Data collected includes age, gender, race, weight, BMI, comorbidities, laboratory results, reason for ICU admission, development of thromboembolic disease, and bleeding complications. The principal safety outcomes were major bleeding and survival to discharge. Patients were excluded if they were admitted to medical floor and had active pathological bleeding (hemoglobin drop&gt;2g/dL), platelets&lt;50 k/ul or fibrinogen&lt;100mg/dL. Categorical (nominal) data using either a chi-squared test or a non-parametric equivalent, such as a Fisher’s Exact Test was used to analyze the data, based on factors of the distribution and normality.</w:t>
      </w:r>
    </w:p>
    <w:p w14:paraId="0B3E4472" w14:textId="77777777" w:rsidR="00077E56" w:rsidRPr="00077E56" w:rsidRDefault="00077E56" w:rsidP="00077E56">
      <w:pPr>
        <w:rPr>
          <w:rFonts w:ascii="Times New Roman" w:hAnsi="Times New Roman" w:cs="Times New Roman"/>
          <w:b/>
          <w:bCs/>
        </w:rPr>
      </w:pPr>
    </w:p>
    <w:p w14:paraId="6ED47C23" w14:textId="77777777" w:rsidR="00077E56" w:rsidRPr="00077E56" w:rsidRDefault="00077E56" w:rsidP="00077E56">
      <w:pPr>
        <w:rPr>
          <w:rFonts w:ascii="Times New Roman" w:hAnsi="Times New Roman" w:cs="Times New Roman"/>
          <w:b/>
          <w:bCs/>
        </w:rPr>
      </w:pPr>
      <w:r w:rsidRPr="00077E56">
        <w:rPr>
          <w:rFonts w:ascii="Times New Roman" w:hAnsi="Times New Roman" w:cs="Times New Roman"/>
          <w:b/>
          <w:bCs/>
        </w:rPr>
        <w:t xml:space="preserve">RESULTS: </w:t>
      </w:r>
      <w:r w:rsidRPr="00077E56">
        <w:rPr>
          <w:rFonts w:ascii="Times New Roman" w:hAnsi="Times New Roman" w:cs="Times New Roman"/>
        </w:rPr>
        <w:t>Research in progress</w:t>
      </w:r>
    </w:p>
    <w:p w14:paraId="68AB49CB" w14:textId="77777777" w:rsidR="00077E56" w:rsidRPr="00077E56" w:rsidRDefault="00077E56" w:rsidP="00077E56">
      <w:pPr>
        <w:rPr>
          <w:rFonts w:ascii="Times New Roman" w:hAnsi="Times New Roman" w:cs="Times New Roman"/>
        </w:rPr>
      </w:pPr>
    </w:p>
    <w:p w14:paraId="0E3ACCFC" w14:textId="77777777" w:rsidR="00077E56" w:rsidRPr="00077E56" w:rsidRDefault="00077E56" w:rsidP="00077E56">
      <w:pPr>
        <w:rPr>
          <w:rFonts w:ascii="Times New Roman" w:hAnsi="Times New Roman" w:cs="Times New Roman"/>
          <w:b/>
          <w:bCs/>
        </w:rPr>
      </w:pPr>
      <w:r w:rsidRPr="00077E56">
        <w:rPr>
          <w:rFonts w:ascii="Times New Roman" w:hAnsi="Times New Roman" w:cs="Times New Roman"/>
          <w:b/>
          <w:bCs/>
        </w:rPr>
        <w:t xml:space="preserve">CONCLUSION: </w:t>
      </w:r>
      <w:r w:rsidRPr="00077E56">
        <w:rPr>
          <w:rFonts w:ascii="Times New Roman" w:hAnsi="Times New Roman" w:cs="Times New Roman"/>
          <w:bCs/>
        </w:rPr>
        <w:t>Research in progress</w:t>
      </w:r>
    </w:p>
    <w:p w14:paraId="00D6AA08" w14:textId="77777777" w:rsidR="00077E56" w:rsidRPr="00077E56" w:rsidRDefault="00077E56" w:rsidP="00077E56">
      <w:pPr>
        <w:pStyle w:val="Default"/>
        <w:rPr>
          <w:b/>
          <w:color w:val="auto"/>
          <w:sz w:val="22"/>
          <w:szCs w:val="22"/>
        </w:rPr>
      </w:pPr>
    </w:p>
    <w:p w14:paraId="46459726" w14:textId="77777777" w:rsidR="00077E56" w:rsidRPr="00077E56" w:rsidRDefault="00077E56" w:rsidP="00077E56">
      <w:pPr>
        <w:pStyle w:val="Default"/>
        <w:rPr>
          <w:color w:val="auto"/>
          <w:sz w:val="22"/>
          <w:szCs w:val="22"/>
        </w:rPr>
      </w:pPr>
      <w:r w:rsidRPr="00077E56">
        <w:rPr>
          <w:b/>
          <w:color w:val="auto"/>
          <w:sz w:val="22"/>
          <w:szCs w:val="22"/>
        </w:rPr>
        <w:t>Disclaimer:</w:t>
      </w:r>
      <w:r w:rsidRPr="00077E56">
        <w:rPr>
          <w:bCs/>
          <w:color w:val="auto"/>
          <w:sz w:val="22"/>
          <w:szCs w:val="22"/>
        </w:rPr>
        <w:t xml:space="preserve"> This research was </w:t>
      </w:r>
      <w:r w:rsidRPr="00077E56">
        <w:rPr>
          <w:color w:val="auto"/>
          <w:sz w:val="22"/>
          <w:szCs w:val="22"/>
        </w:rPr>
        <w:t xml:space="preserve">approved by the institutional review board on October 8, 2020, IRB # 10 08 20 05. </w:t>
      </w:r>
    </w:p>
    <w:p w14:paraId="76C46704" w14:textId="77777777" w:rsidR="00077E56" w:rsidRPr="00077E56" w:rsidRDefault="00077E56" w:rsidP="00077E56">
      <w:pPr>
        <w:pStyle w:val="Default"/>
        <w:rPr>
          <w:color w:val="auto"/>
          <w:sz w:val="22"/>
          <w:szCs w:val="22"/>
        </w:rPr>
      </w:pPr>
    </w:p>
    <w:p w14:paraId="35BD3EE6" w14:textId="66C5FF1B" w:rsidR="00077E56" w:rsidRDefault="00077E56" w:rsidP="0007657F">
      <w:pPr>
        <w:rPr>
          <w:sz w:val="24"/>
          <w:szCs w:val="24"/>
        </w:rPr>
      </w:pPr>
    </w:p>
    <w:p w14:paraId="54D8A246" w14:textId="15D62DC0" w:rsidR="00077E56" w:rsidRDefault="00077E56" w:rsidP="0007657F">
      <w:pPr>
        <w:rPr>
          <w:sz w:val="24"/>
          <w:szCs w:val="24"/>
        </w:rPr>
      </w:pPr>
    </w:p>
    <w:p w14:paraId="54A5DBD1" w14:textId="79EEBC2F" w:rsidR="00077E56" w:rsidRDefault="00077E56" w:rsidP="0007657F">
      <w:pPr>
        <w:rPr>
          <w:sz w:val="24"/>
          <w:szCs w:val="24"/>
        </w:rPr>
      </w:pPr>
    </w:p>
    <w:p w14:paraId="17F8D527" w14:textId="40160A9E" w:rsidR="00077E56" w:rsidRDefault="00077E56" w:rsidP="0007657F">
      <w:pPr>
        <w:rPr>
          <w:sz w:val="24"/>
          <w:szCs w:val="24"/>
        </w:rPr>
      </w:pPr>
    </w:p>
    <w:p w14:paraId="0E06B442" w14:textId="77777777" w:rsidR="00077E56" w:rsidRDefault="00077E56" w:rsidP="00077E56">
      <w:pPr>
        <w:rPr>
          <w:rFonts w:ascii="Times New Roman" w:hAnsi="Times New Roman" w:cs="Times New Roman"/>
          <w:sz w:val="24"/>
          <w:szCs w:val="24"/>
        </w:rPr>
      </w:pPr>
      <w:r>
        <w:rPr>
          <w:rFonts w:ascii="Times New Roman" w:hAnsi="Times New Roman" w:cs="Times New Roman"/>
          <w:sz w:val="24"/>
          <w:szCs w:val="24"/>
        </w:rPr>
        <w:lastRenderedPageBreak/>
        <w:t>IMPACT OF ELECTRONIC ORDER ALERTS ON PRESCRIPTION OF POTENTIALLY INAPPROPRIATE MEDICATIONS IN THE ELDERLY</w:t>
      </w:r>
    </w:p>
    <w:p w14:paraId="323E0CB0" w14:textId="77777777" w:rsidR="00077E56" w:rsidRDefault="00077E56" w:rsidP="00077E56">
      <w:pPr>
        <w:rPr>
          <w:rFonts w:ascii="Times New Roman" w:hAnsi="Times New Roman" w:cs="Times New Roman"/>
          <w:sz w:val="24"/>
          <w:szCs w:val="24"/>
        </w:rPr>
      </w:pPr>
      <w:r>
        <w:rPr>
          <w:rFonts w:ascii="Times New Roman" w:hAnsi="Times New Roman" w:cs="Times New Roman"/>
          <w:sz w:val="24"/>
          <w:szCs w:val="24"/>
        </w:rPr>
        <w:t xml:space="preserve">Orellana Z*, Wang S, Keeley K, </w:t>
      </w:r>
    </w:p>
    <w:p w14:paraId="11798512" w14:textId="77777777" w:rsidR="00077E56" w:rsidRDefault="00077E56" w:rsidP="00077E56">
      <w:pPr>
        <w:rPr>
          <w:rFonts w:ascii="Times New Roman" w:hAnsi="Times New Roman" w:cs="Times New Roman"/>
          <w:sz w:val="24"/>
          <w:szCs w:val="24"/>
        </w:rPr>
      </w:pPr>
      <w:r>
        <w:rPr>
          <w:rFonts w:ascii="Times New Roman" w:hAnsi="Times New Roman" w:cs="Times New Roman"/>
          <w:sz w:val="24"/>
          <w:szCs w:val="24"/>
        </w:rPr>
        <w:t>NYU Langone Hospital – Long Island, 259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Street, Mineola, NY 11501</w:t>
      </w:r>
    </w:p>
    <w:p w14:paraId="7DF2C1CD" w14:textId="77777777" w:rsidR="00077E56" w:rsidRDefault="00077E56" w:rsidP="00077E56">
      <w:pPr>
        <w:rPr>
          <w:rFonts w:ascii="Times New Roman" w:hAnsi="Times New Roman" w:cs="Times New Roman"/>
          <w:sz w:val="24"/>
          <w:szCs w:val="24"/>
        </w:rPr>
      </w:pPr>
      <w:r>
        <w:rPr>
          <w:rFonts w:ascii="Times New Roman" w:hAnsi="Times New Roman" w:cs="Times New Roman"/>
          <w:b/>
          <w:sz w:val="24"/>
          <w:szCs w:val="24"/>
        </w:rPr>
        <w:t>Background</w:t>
      </w:r>
      <w:r>
        <w:rPr>
          <w:rFonts w:ascii="Times New Roman" w:hAnsi="Times New Roman" w:cs="Times New Roman"/>
          <w:sz w:val="24"/>
          <w:szCs w:val="24"/>
        </w:rPr>
        <w:t xml:space="preserve">: Computerized physician order entry system (CPOE) alerts have been a recent technological advancement in the last two decades that have drastically improved prescribing practices. However, the current literature shows mixed results regarding alerting in the geriatric population specifically. A geriatric alerting process will be implemented at NYU Langone Hospital CPOE that involves active alert pop-ups in combination with age-context order defaults for dosing, frequency, and order instructions as a passive alerting option respectively. Potentially inappropriate medications (PIMs) that were flagged for alerting were compiled from resources such as the Beers Criteria, HEDIS, and the STOPP/START Criteria, and the final list was decided upon by a consensus of geriatric providers in our health system. </w:t>
      </w:r>
    </w:p>
    <w:p w14:paraId="6501D380" w14:textId="77777777" w:rsidR="00077E56" w:rsidRDefault="00077E56" w:rsidP="00077E56">
      <w:pPr>
        <w:rPr>
          <w:rFonts w:ascii="Times New Roman" w:hAnsi="Times New Roman" w:cs="Times New Roman"/>
          <w:sz w:val="24"/>
          <w:szCs w:val="24"/>
        </w:rPr>
      </w:pPr>
      <w:r>
        <w:rPr>
          <w:rFonts w:ascii="Times New Roman" w:hAnsi="Times New Roman" w:cs="Times New Roman"/>
          <w:b/>
          <w:sz w:val="24"/>
          <w:szCs w:val="24"/>
        </w:rPr>
        <w:t>Objective</w:t>
      </w:r>
      <w:r>
        <w:rPr>
          <w:rFonts w:ascii="Times New Roman" w:hAnsi="Times New Roman" w:cs="Times New Roman"/>
          <w:sz w:val="24"/>
          <w:szCs w:val="24"/>
        </w:rPr>
        <w:t xml:space="preserve">: The primary outcome is to observe change in prescription rates pre and post alert implementation for all PIMs that were designated to be alerted. </w:t>
      </w:r>
    </w:p>
    <w:p w14:paraId="121BC36C" w14:textId="77777777" w:rsidR="00077E56" w:rsidRDefault="00077E56" w:rsidP="00077E56">
      <w:pPr>
        <w:rPr>
          <w:rFonts w:ascii="Times New Roman" w:hAnsi="Times New Roman" w:cs="Times New Roman"/>
          <w:sz w:val="24"/>
          <w:szCs w:val="24"/>
        </w:rPr>
      </w:pPr>
      <w:r>
        <w:rPr>
          <w:rFonts w:ascii="Times New Roman" w:hAnsi="Times New Roman" w:cs="Times New Roman"/>
          <w:b/>
          <w:sz w:val="24"/>
          <w:szCs w:val="24"/>
        </w:rPr>
        <w:t>Methods</w:t>
      </w:r>
      <w:r>
        <w:rPr>
          <w:rFonts w:ascii="Times New Roman" w:hAnsi="Times New Roman" w:cs="Times New Roman"/>
          <w:sz w:val="24"/>
          <w:szCs w:val="24"/>
        </w:rPr>
        <w:t xml:space="preserve">: This is a prospective, single-center, pre-post observational study to assess the new medication safety initiative for geriatric patients in the NYU Langone Health System. Pre implementation data will be collected over the month of March 2021, and post implementation data will be collected over the month of April 2021. Alerting will be active for all inpatients over the age of 65. </w:t>
      </w:r>
    </w:p>
    <w:p w14:paraId="4E24CB9E" w14:textId="77777777" w:rsidR="00077E56" w:rsidRDefault="00077E56" w:rsidP="00077E56">
      <w:pPr>
        <w:rPr>
          <w:rFonts w:ascii="Times New Roman" w:hAnsi="Times New Roman" w:cs="Times New Roman"/>
          <w:sz w:val="24"/>
          <w:szCs w:val="24"/>
        </w:rPr>
      </w:pPr>
      <w:r>
        <w:rPr>
          <w:rFonts w:ascii="Times New Roman" w:hAnsi="Times New Roman" w:cs="Times New Roman"/>
          <w:b/>
          <w:sz w:val="24"/>
          <w:szCs w:val="24"/>
        </w:rPr>
        <w:t>Results</w:t>
      </w:r>
      <w:r>
        <w:rPr>
          <w:rFonts w:ascii="Times New Roman" w:hAnsi="Times New Roman" w:cs="Times New Roman"/>
          <w:sz w:val="24"/>
          <w:szCs w:val="24"/>
        </w:rPr>
        <w:t>: Pre and post prescription rates are anticipated to be calculated by May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14:paraId="74A44DE1" w14:textId="77777777" w:rsidR="00077E56" w:rsidRDefault="00077E56" w:rsidP="00077E56">
      <w:pPr>
        <w:rPr>
          <w:rFonts w:ascii="Times New Roman" w:hAnsi="Times New Roman" w:cs="Times New Roman"/>
          <w:sz w:val="24"/>
          <w:szCs w:val="24"/>
        </w:rPr>
      </w:pPr>
      <w:r>
        <w:rPr>
          <w:rFonts w:ascii="Times New Roman" w:hAnsi="Times New Roman" w:cs="Times New Roman"/>
          <w:b/>
          <w:sz w:val="24"/>
          <w:szCs w:val="24"/>
        </w:rPr>
        <w:t>Conclusions</w:t>
      </w:r>
      <w:r>
        <w:rPr>
          <w:rFonts w:ascii="Times New Roman" w:hAnsi="Times New Roman" w:cs="Times New Roman"/>
          <w:sz w:val="24"/>
          <w:szCs w:val="24"/>
        </w:rPr>
        <w:t xml:space="preserve">: The implementation of an CPOE alerting system for geriatric patients that utilizes active and passive measures may serve to reduce the prescription rate of PIMs </w:t>
      </w:r>
    </w:p>
    <w:p w14:paraId="28A213E2" w14:textId="5E4C96A4" w:rsidR="00077E56" w:rsidRDefault="00077E56" w:rsidP="0007657F">
      <w:pPr>
        <w:rPr>
          <w:sz w:val="24"/>
          <w:szCs w:val="24"/>
        </w:rPr>
      </w:pPr>
    </w:p>
    <w:p w14:paraId="3B3BEC9E" w14:textId="04F1377A" w:rsidR="00077E56" w:rsidRDefault="00077E56" w:rsidP="0007657F">
      <w:pPr>
        <w:rPr>
          <w:sz w:val="24"/>
          <w:szCs w:val="24"/>
        </w:rPr>
      </w:pPr>
    </w:p>
    <w:p w14:paraId="34EA0123" w14:textId="103A6FF0" w:rsidR="00077E56" w:rsidRDefault="00077E56" w:rsidP="0007657F">
      <w:pPr>
        <w:rPr>
          <w:sz w:val="24"/>
          <w:szCs w:val="24"/>
        </w:rPr>
      </w:pPr>
    </w:p>
    <w:p w14:paraId="2CE503F5" w14:textId="68D5A990" w:rsidR="00077E56" w:rsidRDefault="00077E56" w:rsidP="0007657F">
      <w:pPr>
        <w:rPr>
          <w:sz w:val="24"/>
          <w:szCs w:val="24"/>
        </w:rPr>
      </w:pPr>
    </w:p>
    <w:p w14:paraId="67D6F82A" w14:textId="3CFB50F4" w:rsidR="00077E56" w:rsidRDefault="00077E56" w:rsidP="0007657F">
      <w:pPr>
        <w:rPr>
          <w:sz w:val="24"/>
          <w:szCs w:val="24"/>
        </w:rPr>
      </w:pPr>
    </w:p>
    <w:p w14:paraId="105D777C" w14:textId="6CBD9787" w:rsidR="00077E56" w:rsidRDefault="00077E56" w:rsidP="0007657F">
      <w:pPr>
        <w:rPr>
          <w:sz w:val="24"/>
          <w:szCs w:val="24"/>
        </w:rPr>
      </w:pPr>
    </w:p>
    <w:p w14:paraId="406AFAD2" w14:textId="63252FF7" w:rsidR="00077E56" w:rsidRDefault="00077E56" w:rsidP="0007657F">
      <w:pPr>
        <w:rPr>
          <w:sz w:val="24"/>
          <w:szCs w:val="24"/>
        </w:rPr>
      </w:pPr>
    </w:p>
    <w:p w14:paraId="24AE033B" w14:textId="42BEA282" w:rsidR="00077E56" w:rsidRDefault="00077E56" w:rsidP="0007657F">
      <w:pPr>
        <w:rPr>
          <w:sz w:val="24"/>
          <w:szCs w:val="24"/>
        </w:rPr>
      </w:pPr>
    </w:p>
    <w:p w14:paraId="266D3849" w14:textId="471500F1" w:rsidR="00077E56" w:rsidRDefault="00077E56" w:rsidP="0007657F">
      <w:pPr>
        <w:rPr>
          <w:sz w:val="24"/>
          <w:szCs w:val="24"/>
        </w:rPr>
      </w:pPr>
    </w:p>
    <w:p w14:paraId="0BD1EEC7" w14:textId="0FC1F7E0" w:rsidR="00077E56" w:rsidRDefault="00077E56" w:rsidP="0007657F">
      <w:pPr>
        <w:rPr>
          <w:sz w:val="24"/>
          <w:szCs w:val="24"/>
        </w:rPr>
      </w:pPr>
    </w:p>
    <w:p w14:paraId="6BC7EC2F" w14:textId="77777777" w:rsidR="00077E56" w:rsidRDefault="00077E56" w:rsidP="00077E56">
      <w:pPr>
        <w:rPr>
          <w:rFonts w:ascii="Times New Roman" w:hAnsi="Times New Roman" w:cs="Times New Roman"/>
          <w:sz w:val="24"/>
          <w:szCs w:val="24"/>
        </w:rPr>
      </w:pPr>
      <w:r>
        <w:rPr>
          <w:rFonts w:ascii="Times New Roman" w:hAnsi="Times New Roman" w:cs="Times New Roman"/>
          <w:sz w:val="24"/>
          <w:szCs w:val="24"/>
        </w:rPr>
        <w:lastRenderedPageBreak/>
        <w:t>EVALUATE EFFICACY AND SAFETY OF DUAL ANTIPLATELET THERAPY COMBINING HIGH DOSE ASPIRIN AND TICAGRELOR FOR NEUROVASCULAR STENTING PROCEDURES</w:t>
      </w:r>
    </w:p>
    <w:p w14:paraId="6FBCBF68" w14:textId="77777777" w:rsidR="00077E56" w:rsidRDefault="00077E56" w:rsidP="00077E56">
      <w:pPr>
        <w:rPr>
          <w:rFonts w:ascii="Times New Roman" w:hAnsi="Times New Roman" w:cs="Times New Roman"/>
          <w:sz w:val="24"/>
          <w:szCs w:val="24"/>
        </w:rPr>
      </w:pPr>
      <w:r>
        <w:rPr>
          <w:rFonts w:ascii="Times New Roman" w:hAnsi="Times New Roman" w:cs="Times New Roman"/>
          <w:sz w:val="24"/>
          <w:szCs w:val="24"/>
          <w:u w:val="single"/>
        </w:rPr>
        <w:t>Park P</w:t>
      </w:r>
      <w:r>
        <w:rPr>
          <w:rFonts w:ascii="Times New Roman" w:hAnsi="Times New Roman" w:cs="Times New Roman"/>
          <w:sz w:val="24"/>
          <w:szCs w:val="24"/>
        </w:rPr>
        <w:t xml:space="preserve">*, </w:t>
      </w:r>
      <w:r>
        <w:rPr>
          <w:rFonts w:ascii="Times New Roman" w:hAnsi="Times New Roman" w:cs="Times New Roman"/>
          <w:sz w:val="24"/>
          <w:szCs w:val="24"/>
          <w:u w:val="single"/>
        </w:rPr>
        <w:t>Lin A</w:t>
      </w:r>
      <w:r>
        <w:rPr>
          <w:rFonts w:ascii="Times New Roman" w:hAnsi="Times New Roman" w:cs="Times New Roman"/>
          <w:sz w:val="24"/>
          <w:szCs w:val="24"/>
        </w:rPr>
        <w:t xml:space="preserve">, </w:t>
      </w:r>
      <w:r>
        <w:rPr>
          <w:rFonts w:ascii="Times New Roman" w:hAnsi="Times New Roman" w:cs="Times New Roman"/>
          <w:sz w:val="24"/>
          <w:szCs w:val="24"/>
          <w:u w:val="single"/>
        </w:rPr>
        <w:t>DeMatteo C</w:t>
      </w:r>
      <w:r>
        <w:rPr>
          <w:rFonts w:ascii="Times New Roman" w:hAnsi="Times New Roman" w:cs="Times New Roman"/>
          <w:sz w:val="24"/>
          <w:szCs w:val="24"/>
        </w:rPr>
        <w:t xml:space="preserve">, </w:t>
      </w:r>
      <w:r>
        <w:rPr>
          <w:rFonts w:ascii="Times New Roman" w:hAnsi="Times New Roman" w:cs="Times New Roman"/>
          <w:sz w:val="24"/>
          <w:szCs w:val="24"/>
          <w:u w:val="single"/>
        </w:rPr>
        <w:t>Benziger B</w:t>
      </w:r>
    </w:p>
    <w:p w14:paraId="3707EE32" w14:textId="77777777" w:rsidR="00077E56" w:rsidRDefault="00077E56" w:rsidP="00077E56">
      <w:pPr>
        <w:rPr>
          <w:rFonts w:ascii="Times New Roman" w:hAnsi="Times New Roman" w:cs="Times New Roman"/>
          <w:sz w:val="24"/>
          <w:szCs w:val="24"/>
        </w:rPr>
      </w:pPr>
      <w:r>
        <w:rPr>
          <w:rFonts w:ascii="Times New Roman" w:hAnsi="Times New Roman" w:cs="Times New Roman"/>
          <w:sz w:val="24"/>
          <w:szCs w:val="24"/>
        </w:rPr>
        <w:t>North Shore University Hospital, 300 Community Drive, Manhasset, NY 11030</w:t>
      </w:r>
    </w:p>
    <w:p w14:paraId="4649BFEB" w14:textId="77777777" w:rsidR="00077E56" w:rsidRDefault="00077E56" w:rsidP="00077E56">
      <w:pPr>
        <w:spacing w:before="240" w:after="0"/>
        <w:rPr>
          <w:rFonts w:ascii="Times New Roman" w:hAnsi="Times New Roman" w:cs="Times New Roman"/>
          <w:b/>
          <w:sz w:val="24"/>
          <w:szCs w:val="24"/>
        </w:rPr>
      </w:pPr>
      <w:r>
        <w:rPr>
          <w:rFonts w:ascii="Times New Roman" w:hAnsi="Times New Roman" w:cs="Times New Roman"/>
          <w:b/>
          <w:sz w:val="24"/>
          <w:szCs w:val="24"/>
        </w:rPr>
        <w:t>Background:</w:t>
      </w:r>
      <w:r>
        <w:rPr>
          <w:rFonts w:ascii="Times New Roman" w:hAnsi="Times New Roman" w:cs="Times New Roman"/>
          <w:b/>
          <w:sz w:val="24"/>
          <w:szCs w:val="24"/>
        </w:rPr>
        <w:softHyphen/>
      </w:r>
      <w:r>
        <w:rPr>
          <w:rFonts w:ascii="Times New Roman" w:hAnsi="Times New Roman" w:cs="Times New Roman"/>
          <w:b/>
          <w:sz w:val="24"/>
          <w:szCs w:val="24"/>
        </w:rPr>
        <w:softHyphen/>
      </w:r>
    </w:p>
    <w:p w14:paraId="1654665A" w14:textId="77777777" w:rsidR="00077E56" w:rsidRDefault="00077E56" w:rsidP="00077E56">
      <w:pPr>
        <w:rPr>
          <w:rFonts w:ascii="Times New Roman" w:hAnsi="Times New Roman" w:cs="Times New Roman"/>
          <w:sz w:val="24"/>
          <w:szCs w:val="24"/>
        </w:rPr>
      </w:pPr>
      <w:r>
        <w:rPr>
          <w:rFonts w:ascii="Times New Roman" w:hAnsi="Times New Roman" w:cs="Times New Roman"/>
          <w:sz w:val="24"/>
          <w:szCs w:val="24"/>
        </w:rPr>
        <w:t>Dual antiplatelet therapy with aspirin and a P2Y12 inhibitor is utilized after neurovascular stenting due to increased risk of thromboembolism. Clopidogrel is often used, but in cases of clopidogrel resistance, ticagrelor can be used as an alternative. While the optimal doses for these agents are not established in the neurovascular context, ticagrelor carries a black box warning (BBW) suggesting that higher doses of aspirin (i.e &gt;100 mg/day) may decrease efficacy of ticagrelor. Because this BBW was derived from the results of the Platelet Inhibition and Patient Outcomes (PLATO) trial, which focused on patients with acute coronary syndrome, the implications of this potential interaction are unclear in the neurovascular setting. Despite this potential interaction, aspirin 325 mg daily and ticagrelor 60-90 mg twice daily are utilized to treat patients receiving neurovascular stents.</w:t>
      </w:r>
    </w:p>
    <w:p w14:paraId="3EE74537" w14:textId="77777777" w:rsidR="00077E56" w:rsidRDefault="00077E56" w:rsidP="00077E56">
      <w:pPr>
        <w:spacing w:after="0"/>
        <w:rPr>
          <w:rFonts w:ascii="Times New Roman" w:hAnsi="Times New Roman" w:cs="Times New Roman"/>
          <w:b/>
          <w:sz w:val="24"/>
          <w:szCs w:val="24"/>
        </w:rPr>
      </w:pPr>
      <w:r>
        <w:rPr>
          <w:rFonts w:ascii="Times New Roman" w:hAnsi="Times New Roman" w:cs="Times New Roman"/>
          <w:b/>
          <w:sz w:val="24"/>
          <w:szCs w:val="24"/>
        </w:rPr>
        <w:t>Objectives:</w:t>
      </w:r>
    </w:p>
    <w:p w14:paraId="49572380" w14:textId="77777777" w:rsidR="00077E56" w:rsidRDefault="00077E56" w:rsidP="00077E56">
      <w:pPr>
        <w:rPr>
          <w:rFonts w:ascii="Times New Roman" w:hAnsi="Times New Roman" w:cs="Times New Roman"/>
          <w:sz w:val="24"/>
          <w:szCs w:val="24"/>
        </w:rPr>
      </w:pPr>
      <w:r>
        <w:rPr>
          <w:rFonts w:ascii="Times New Roman" w:hAnsi="Times New Roman" w:cs="Times New Roman"/>
          <w:sz w:val="24"/>
          <w:szCs w:val="24"/>
        </w:rPr>
        <w:t>This study will assess the efficacy and safety outcomes of using high dose aspirin with ticagrelor in patients undergoing neurovascular stenting.</w:t>
      </w:r>
    </w:p>
    <w:p w14:paraId="2EF9BB25" w14:textId="77777777" w:rsidR="00077E56" w:rsidRDefault="00077E56" w:rsidP="00077E56">
      <w:pPr>
        <w:spacing w:after="0"/>
        <w:rPr>
          <w:rFonts w:ascii="Times New Roman" w:hAnsi="Times New Roman" w:cs="Times New Roman"/>
          <w:b/>
          <w:sz w:val="24"/>
          <w:szCs w:val="24"/>
        </w:rPr>
      </w:pPr>
      <w:r>
        <w:rPr>
          <w:rFonts w:ascii="Times New Roman" w:hAnsi="Times New Roman" w:cs="Times New Roman"/>
          <w:b/>
          <w:sz w:val="24"/>
          <w:szCs w:val="24"/>
        </w:rPr>
        <w:t xml:space="preserve">Methods: </w:t>
      </w:r>
    </w:p>
    <w:p w14:paraId="3D8D4585" w14:textId="77777777" w:rsidR="00077E56" w:rsidRDefault="00077E56" w:rsidP="00077E56">
      <w:pPr>
        <w:rPr>
          <w:rFonts w:ascii="Times New Roman" w:hAnsi="Times New Roman" w:cs="Times New Roman"/>
          <w:sz w:val="24"/>
          <w:szCs w:val="24"/>
        </w:rPr>
      </w:pPr>
      <w:r>
        <w:rPr>
          <w:rFonts w:ascii="Times New Roman" w:eastAsia="Times New Roman" w:hAnsi="Times New Roman" w:cs="Times New Roman"/>
          <w:color w:val="2B2B2B"/>
          <w:sz w:val="24"/>
          <w:szCs w:val="24"/>
        </w:rPr>
        <w:t xml:space="preserve">This is an institutional review board approved, single-arm, retrospective chart review of patients who received aspirin 325 mg daily and ticagrelor 60-90 mg twice daily after neurovascular stenting at North Shore University Hospital between January 1, 2018 to December 31, 2019. The </w:t>
      </w:r>
      <w:r>
        <w:rPr>
          <w:rFonts w:ascii="Times New Roman" w:hAnsi="Times New Roman" w:cs="Times New Roman"/>
          <w:sz w:val="24"/>
          <w:szCs w:val="24"/>
        </w:rPr>
        <w:t xml:space="preserve">primary outcome was to assess: 1) frequency of any predefined thrombotic event (ischemic stroke, stent thrombosis, or death) and 2) frequency of any predefined bleeding (intracranial hemorrhage, gastrointestinal hemorrhage, or death) during treatment. Descriptive statistics will be used to evaluate the primary outcome endpoints of thrombotic and bleeding events. </w:t>
      </w:r>
    </w:p>
    <w:p w14:paraId="6FB0D94D" w14:textId="77777777" w:rsidR="00077E56" w:rsidRDefault="00077E56" w:rsidP="00077E56">
      <w:pPr>
        <w:spacing w:after="0"/>
        <w:rPr>
          <w:rFonts w:ascii="Times New Roman" w:hAnsi="Times New Roman" w:cs="Times New Roman"/>
          <w:b/>
          <w:sz w:val="24"/>
          <w:szCs w:val="24"/>
        </w:rPr>
      </w:pPr>
      <w:r>
        <w:rPr>
          <w:rFonts w:ascii="Times New Roman" w:hAnsi="Times New Roman" w:cs="Times New Roman"/>
          <w:b/>
          <w:sz w:val="24"/>
          <w:szCs w:val="24"/>
        </w:rPr>
        <w:t>Results:</w:t>
      </w:r>
    </w:p>
    <w:p w14:paraId="6E8D64F1" w14:textId="77777777" w:rsidR="00077E56" w:rsidRDefault="00077E56" w:rsidP="00077E56">
      <w:pPr>
        <w:spacing w:after="0"/>
        <w:rPr>
          <w:rFonts w:ascii="Times New Roman" w:hAnsi="Times New Roman" w:cs="Times New Roman"/>
          <w:sz w:val="24"/>
          <w:szCs w:val="24"/>
        </w:rPr>
      </w:pPr>
      <w:r>
        <w:rPr>
          <w:rFonts w:ascii="Times New Roman" w:hAnsi="Times New Roman" w:cs="Times New Roman"/>
          <w:sz w:val="24"/>
          <w:szCs w:val="24"/>
        </w:rPr>
        <w:t>In-progress</w:t>
      </w:r>
    </w:p>
    <w:p w14:paraId="41666910" w14:textId="77777777" w:rsidR="00077E56" w:rsidRDefault="00077E56" w:rsidP="00077E56">
      <w:pPr>
        <w:spacing w:after="0"/>
        <w:rPr>
          <w:rFonts w:ascii="Times New Roman" w:hAnsi="Times New Roman" w:cs="Times New Roman"/>
          <w:sz w:val="24"/>
          <w:szCs w:val="24"/>
        </w:rPr>
      </w:pPr>
    </w:p>
    <w:p w14:paraId="10D959DD" w14:textId="77777777" w:rsidR="00077E56" w:rsidRDefault="00077E56" w:rsidP="00077E56">
      <w:pPr>
        <w:spacing w:after="0"/>
        <w:rPr>
          <w:rFonts w:ascii="Times New Roman" w:hAnsi="Times New Roman" w:cs="Times New Roman"/>
          <w:b/>
          <w:sz w:val="24"/>
          <w:szCs w:val="24"/>
        </w:rPr>
      </w:pPr>
      <w:r>
        <w:rPr>
          <w:rFonts w:ascii="Times New Roman" w:hAnsi="Times New Roman" w:cs="Times New Roman"/>
          <w:b/>
          <w:sz w:val="24"/>
          <w:szCs w:val="24"/>
        </w:rPr>
        <w:t>Conclusion:</w:t>
      </w:r>
    </w:p>
    <w:p w14:paraId="7D593EF6" w14:textId="77777777" w:rsidR="00077E56" w:rsidRDefault="00077E56" w:rsidP="00077E56">
      <w:pPr>
        <w:spacing w:after="0"/>
        <w:rPr>
          <w:rFonts w:ascii="Times New Roman" w:hAnsi="Times New Roman" w:cs="Times New Roman"/>
          <w:sz w:val="24"/>
          <w:szCs w:val="24"/>
        </w:rPr>
      </w:pPr>
      <w:r>
        <w:rPr>
          <w:rFonts w:ascii="Times New Roman" w:hAnsi="Times New Roman" w:cs="Times New Roman"/>
          <w:sz w:val="24"/>
          <w:szCs w:val="24"/>
        </w:rPr>
        <w:t>In-progress</w:t>
      </w:r>
    </w:p>
    <w:p w14:paraId="1F4F0CF7" w14:textId="63D14EBD" w:rsidR="00077E56" w:rsidRDefault="00077E56" w:rsidP="0007657F">
      <w:pPr>
        <w:rPr>
          <w:sz w:val="24"/>
          <w:szCs w:val="24"/>
        </w:rPr>
      </w:pPr>
    </w:p>
    <w:p w14:paraId="6FC68DBC" w14:textId="2F3866C6" w:rsidR="00077E56" w:rsidRDefault="00077E56" w:rsidP="0007657F">
      <w:pPr>
        <w:rPr>
          <w:sz w:val="24"/>
          <w:szCs w:val="24"/>
        </w:rPr>
      </w:pPr>
    </w:p>
    <w:p w14:paraId="21CB8EFA" w14:textId="1938C685" w:rsidR="00077E56" w:rsidRDefault="00077E56" w:rsidP="0007657F">
      <w:pPr>
        <w:rPr>
          <w:sz w:val="24"/>
          <w:szCs w:val="24"/>
        </w:rPr>
      </w:pPr>
    </w:p>
    <w:p w14:paraId="32248A8C" w14:textId="3EE3F979" w:rsidR="00077E56" w:rsidRDefault="00077E56" w:rsidP="0007657F">
      <w:pPr>
        <w:rPr>
          <w:sz w:val="24"/>
          <w:szCs w:val="24"/>
        </w:rPr>
      </w:pPr>
    </w:p>
    <w:p w14:paraId="4AE65DEA" w14:textId="02ADB460" w:rsidR="00077E56" w:rsidRDefault="00077E56" w:rsidP="0007657F">
      <w:pPr>
        <w:rPr>
          <w:sz w:val="24"/>
          <w:szCs w:val="24"/>
        </w:rPr>
      </w:pPr>
    </w:p>
    <w:p w14:paraId="6C30F1E8" w14:textId="77777777" w:rsidR="00077E56" w:rsidRDefault="00077E56" w:rsidP="00077E5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PHARMACIST-DRIVEN DISCHARGE ANTIMICROBIAL REVIEW PROCESS AT AN ACADEMIC MEDICAL CENTER</w:t>
      </w:r>
    </w:p>
    <w:p w14:paraId="2CBD4845" w14:textId="77777777" w:rsidR="00077E56" w:rsidRDefault="00077E56" w:rsidP="00077E5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u w:val="single"/>
        </w:rPr>
        <w:t>Parsels K</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u w:val="single"/>
        </w:rPr>
        <w:t>Kufel W</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u w:val="single"/>
        </w:rPr>
        <w:t>Burgess J</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u w:val="single"/>
        </w:rPr>
        <w:t>Seabury R</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u w:val="single"/>
        </w:rPr>
        <w:t>Thomas S</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u w:val="single"/>
        </w:rPr>
        <w:t>Steele J</w:t>
      </w:r>
    </w:p>
    <w:p w14:paraId="748A439F" w14:textId="77777777" w:rsidR="00077E56" w:rsidRDefault="00077E56" w:rsidP="00077E5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Upstate University Hospital, 750 E Adams Street, Syracuse, NY 13210</w:t>
      </w:r>
    </w:p>
    <w:p w14:paraId="775132AE" w14:textId="77777777" w:rsidR="00077E56" w:rsidRDefault="00077E56" w:rsidP="00077E56">
      <w:pPr>
        <w:spacing w:before="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Background: </w:t>
      </w:r>
      <w:r>
        <w:rPr>
          <w:rFonts w:ascii="Times New Roman" w:eastAsia="Times New Roman" w:hAnsi="Times New Roman" w:cs="Times New Roman"/>
          <w:color w:val="000000" w:themeColor="text1"/>
          <w:sz w:val="24"/>
          <w:szCs w:val="24"/>
        </w:rPr>
        <w:t xml:space="preserve">The CDC estimates approximately 30% of antimicrobials prescribed in the outpatient setting are unnecessary. Antimicrobial stewardship (AS) efforts often focus on the inpatient setting but most antimicrobial consumption (&gt;60%) occurs among outpatients. However, limited data describe AS interventions at hospital discharge. </w:t>
      </w:r>
    </w:p>
    <w:p w14:paraId="01122A3C" w14:textId="77777777" w:rsidR="00077E56" w:rsidRDefault="00077E56" w:rsidP="00077E56">
      <w:pPr>
        <w:spacing w:before="24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Objectives: </w:t>
      </w:r>
      <w:r>
        <w:rPr>
          <w:rFonts w:ascii="Times New Roman" w:eastAsia="Times New Roman" w:hAnsi="Times New Roman" w:cs="Times New Roman"/>
          <w:color w:val="000000" w:themeColor="text1"/>
          <w:sz w:val="24"/>
          <w:szCs w:val="24"/>
        </w:rPr>
        <w:t xml:space="preserve">The objective was to describe the impact of an AS program on discharge oral antimicrobial prescriptions. The primary outcome was the percentage of prescriptions with ≥ 1 drug related problem (DRP) identified by an infectious diseases (ID) pharmacist. Secondary outcomes included the percentage of prescriptions with </w:t>
      </w:r>
      <w:r>
        <w:rPr>
          <w:rFonts w:ascii="Times New Roman" w:eastAsia="Times New Roman" w:hAnsi="Times New Roman" w:cs="Times New Roman"/>
          <w:color w:val="000000" w:themeColor="text1"/>
          <w:sz w:val="24"/>
          <w:szCs w:val="24"/>
          <w:u w:val="single"/>
        </w:rPr>
        <w:t>&gt;</w:t>
      </w:r>
      <w:r>
        <w:rPr>
          <w:rFonts w:ascii="Times New Roman" w:eastAsia="Times New Roman" w:hAnsi="Times New Roman" w:cs="Times New Roman"/>
          <w:color w:val="000000" w:themeColor="text1"/>
          <w:sz w:val="24"/>
          <w:szCs w:val="24"/>
        </w:rPr>
        <w:t xml:space="preserve"> 1 intervention performed, the intervention acceptance rate, </w:t>
      </w:r>
      <w:r>
        <w:rPr>
          <w:rFonts w:ascii="Times New Roman" w:eastAsia="Times New Roman" w:hAnsi="Times New Roman" w:cs="Times New Roman"/>
          <w:bCs/>
          <w:color w:val="000000" w:themeColor="text1"/>
          <w:sz w:val="24"/>
          <w:szCs w:val="24"/>
        </w:rPr>
        <w:t>and the reduction in antimicrobial days dispensed at discharge when interventions to limit treatment were accepted by the physician.</w:t>
      </w:r>
      <w:r>
        <w:rPr>
          <w:rFonts w:ascii="Times New Roman" w:eastAsia="Times New Roman" w:hAnsi="Times New Roman" w:cs="Times New Roman"/>
          <w:b/>
          <w:bCs/>
          <w:color w:val="000000" w:themeColor="text1"/>
          <w:sz w:val="24"/>
          <w:szCs w:val="24"/>
        </w:rPr>
        <w:t xml:space="preserve"> </w:t>
      </w:r>
    </w:p>
    <w:p w14:paraId="30EAFE5D" w14:textId="77777777" w:rsidR="00077E56" w:rsidRDefault="00077E56" w:rsidP="00077E56">
      <w:pPr>
        <w:spacing w:before="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Methods: </w:t>
      </w:r>
      <w:r>
        <w:rPr>
          <w:rFonts w:ascii="Times New Roman" w:eastAsia="Times New Roman" w:hAnsi="Times New Roman" w:cs="Times New Roman"/>
          <w:color w:val="000000" w:themeColor="text1"/>
          <w:sz w:val="24"/>
          <w:szCs w:val="24"/>
        </w:rPr>
        <w:t xml:space="preserve">This was a single-center, retrospective cohort study. Patients prescribed an antimicrobial at discharge were included if the prescription was sent to our hospital-affiliated outpatient pharmacy and reviewed by an ID pharmacist prior to being dispensed. This study was granted exemption from the Institutional Review Board. </w:t>
      </w:r>
    </w:p>
    <w:p w14:paraId="422D02F6" w14:textId="77777777" w:rsidR="00077E56" w:rsidRDefault="00077E56" w:rsidP="00077E56">
      <w:pPr>
        <w:rPr>
          <w:rFonts w:ascii="Times New Roman" w:eastAsia="Times New Roman" w:hAnsi="Times New Roman" w:cs="Times New Roman"/>
          <w:sz w:val="24"/>
          <w:szCs w:val="24"/>
        </w:rPr>
      </w:pPr>
      <w:r>
        <w:rPr>
          <w:rFonts w:ascii="Times New Roman" w:eastAsia="Times New Roman" w:hAnsi="Times New Roman" w:cs="Times New Roman"/>
          <w:b/>
          <w:bCs/>
          <w:color w:val="000000" w:themeColor="text1"/>
          <w:sz w:val="24"/>
          <w:szCs w:val="24"/>
        </w:rPr>
        <w:t xml:space="preserve">Results: </w:t>
      </w:r>
      <w:r>
        <w:rPr>
          <w:rFonts w:ascii="Times New Roman" w:eastAsia="Times New Roman" w:hAnsi="Times New Roman" w:cs="Times New Roman"/>
          <w:color w:val="000000" w:themeColor="text1"/>
          <w:sz w:val="24"/>
          <w:szCs w:val="24"/>
        </w:rPr>
        <w:t xml:space="preserve">In a 6-month period, 803 antimicrobial prescriptions were reviewed. At least one DRP was identified in 43.1% (n=346) and </w:t>
      </w:r>
      <w:r>
        <w:rPr>
          <w:rFonts w:ascii="Times New Roman" w:eastAsia="Times New Roman" w:hAnsi="Times New Roman" w:cs="Times New Roman"/>
          <w:color w:val="000000" w:themeColor="text1"/>
          <w:sz w:val="24"/>
          <w:szCs w:val="24"/>
          <w:u w:val="single"/>
        </w:rPr>
        <w:t>&gt;</w:t>
      </w:r>
      <w:r>
        <w:rPr>
          <w:rFonts w:ascii="Times New Roman" w:eastAsia="Times New Roman" w:hAnsi="Times New Roman" w:cs="Times New Roman"/>
          <w:color w:val="000000" w:themeColor="text1"/>
          <w:sz w:val="24"/>
          <w:szCs w:val="24"/>
        </w:rPr>
        <w:t xml:space="preserve"> 1 intervention was performed in 42.8% (n=344). The overall intervention acceptance rate was 75.6% (331/438). </w:t>
      </w:r>
      <w:r>
        <w:rPr>
          <w:rFonts w:ascii="Times New Roman" w:eastAsia="Times New Roman" w:hAnsi="Times New Roman" w:cs="Times New Roman"/>
          <w:bCs/>
          <w:color w:val="000000" w:themeColor="text1"/>
          <w:sz w:val="24"/>
          <w:szCs w:val="24"/>
        </w:rPr>
        <w:t>The median (IQR) number of antimicrobial days decreased from 8 (5 – 10) days to 4 (0 – 6) days when physicians accepted interventions to limit treatment (P&lt;0.001).</w:t>
      </w:r>
    </w:p>
    <w:p w14:paraId="53D78027" w14:textId="77777777" w:rsidR="00077E56" w:rsidRDefault="00077E56" w:rsidP="00077E56">
      <w:pPr>
        <w:spacing w:before="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Conclusions: </w:t>
      </w:r>
      <w:r>
        <w:rPr>
          <w:rFonts w:ascii="Times New Roman" w:eastAsia="Times New Roman" w:hAnsi="Times New Roman" w:cs="Times New Roman"/>
          <w:color w:val="000000" w:themeColor="text1"/>
          <w:sz w:val="24"/>
          <w:szCs w:val="24"/>
        </w:rPr>
        <w:t>Our AS program frequently identified DRPs among discharge antimicrobial prescriptions. We encourage others to implement a discharge AS program in order to identify DRPs.</w:t>
      </w:r>
    </w:p>
    <w:p w14:paraId="5CED7C99" w14:textId="0D5C462B" w:rsidR="00077E56" w:rsidRDefault="00077E56" w:rsidP="0007657F">
      <w:pPr>
        <w:rPr>
          <w:sz w:val="24"/>
          <w:szCs w:val="24"/>
        </w:rPr>
      </w:pPr>
    </w:p>
    <w:p w14:paraId="27FC859D" w14:textId="1D9E8F09" w:rsidR="00077E56" w:rsidRDefault="00077E56" w:rsidP="0007657F">
      <w:pPr>
        <w:rPr>
          <w:sz w:val="24"/>
          <w:szCs w:val="24"/>
        </w:rPr>
      </w:pPr>
    </w:p>
    <w:p w14:paraId="66E20C2E" w14:textId="08FA3E98" w:rsidR="00077E56" w:rsidRDefault="00077E56" w:rsidP="0007657F">
      <w:pPr>
        <w:rPr>
          <w:sz w:val="24"/>
          <w:szCs w:val="24"/>
        </w:rPr>
      </w:pPr>
    </w:p>
    <w:p w14:paraId="034006B1" w14:textId="4A4D73FD" w:rsidR="00077E56" w:rsidRDefault="00077E56" w:rsidP="0007657F">
      <w:pPr>
        <w:rPr>
          <w:sz w:val="24"/>
          <w:szCs w:val="24"/>
        </w:rPr>
      </w:pPr>
    </w:p>
    <w:p w14:paraId="186799E4" w14:textId="5987764D" w:rsidR="00077E56" w:rsidRDefault="00077E56" w:rsidP="0007657F">
      <w:pPr>
        <w:rPr>
          <w:sz w:val="24"/>
          <w:szCs w:val="24"/>
        </w:rPr>
      </w:pPr>
    </w:p>
    <w:p w14:paraId="3CD243D6" w14:textId="698136BE" w:rsidR="00077E56" w:rsidRDefault="00077E56" w:rsidP="0007657F">
      <w:pPr>
        <w:rPr>
          <w:sz w:val="24"/>
          <w:szCs w:val="24"/>
        </w:rPr>
      </w:pPr>
    </w:p>
    <w:p w14:paraId="1D1DF43D" w14:textId="212F7A24" w:rsidR="00077E56" w:rsidRDefault="00077E56" w:rsidP="0007657F">
      <w:pPr>
        <w:rPr>
          <w:sz w:val="24"/>
          <w:szCs w:val="24"/>
        </w:rPr>
      </w:pPr>
    </w:p>
    <w:p w14:paraId="356D7079" w14:textId="4280B10B" w:rsidR="00077E56" w:rsidRDefault="00077E56" w:rsidP="0007657F">
      <w:pPr>
        <w:rPr>
          <w:sz w:val="24"/>
          <w:szCs w:val="24"/>
        </w:rPr>
      </w:pPr>
    </w:p>
    <w:p w14:paraId="7A16184B" w14:textId="77777777" w:rsidR="00077E56" w:rsidRDefault="00077E56" w:rsidP="00077E56">
      <w:pPr>
        <w:spacing w:after="120"/>
        <w:rPr>
          <w:rFonts w:ascii="Times New Roman" w:hAnsi="Times New Roman" w:cs="Times New Roman"/>
        </w:rPr>
      </w:pPr>
      <w:r>
        <w:rPr>
          <w:rFonts w:ascii="Times New Roman" w:hAnsi="Times New Roman" w:cs="Times New Roman"/>
        </w:rPr>
        <w:lastRenderedPageBreak/>
        <w:t>EMPIRIC MANAGEMENT OF FOOT INFECTIONS &amp; ASSOCIATED SURGICAL SITE INFECTIONS: A QUALITY IMPROVEMENT PROJECT</w:t>
      </w:r>
    </w:p>
    <w:p w14:paraId="3CAEDC93" w14:textId="77777777" w:rsidR="00077E56" w:rsidRDefault="00077E56" w:rsidP="00077E56">
      <w:pPr>
        <w:spacing w:after="120"/>
        <w:rPr>
          <w:rFonts w:ascii="Times New Roman" w:hAnsi="Times New Roman" w:cs="Times New Roman"/>
        </w:rPr>
      </w:pPr>
      <w:r>
        <w:rPr>
          <w:rFonts w:ascii="Times New Roman" w:hAnsi="Times New Roman" w:cs="Times New Roman"/>
          <w:u w:val="single"/>
        </w:rPr>
        <w:t>Patel R</w:t>
      </w:r>
      <w:r>
        <w:rPr>
          <w:rFonts w:ascii="Times New Roman" w:hAnsi="Times New Roman" w:cs="Times New Roman"/>
        </w:rPr>
        <w:t xml:space="preserve">*, </w:t>
      </w:r>
      <w:r>
        <w:rPr>
          <w:rFonts w:ascii="Times New Roman" w:hAnsi="Times New Roman" w:cs="Times New Roman"/>
          <w:u w:val="single"/>
        </w:rPr>
        <w:t>Krichavets I</w:t>
      </w:r>
    </w:p>
    <w:p w14:paraId="1B50B976" w14:textId="77777777" w:rsidR="00077E56" w:rsidRDefault="00077E56" w:rsidP="00077E56">
      <w:pPr>
        <w:spacing w:after="120"/>
        <w:rPr>
          <w:rFonts w:ascii="Times New Roman" w:hAnsi="Times New Roman" w:cs="Times New Roman"/>
        </w:rPr>
      </w:pPr>
      <w:r>
        <w:rPr>
          <w:rFonts w:ascii="Times New Roman" w:hAnsi="Times New Roman" w:cs="Times New Roman"/>
        </w:rPr>
        <w:t>Lenox Hill Hospital, 100 E 77</w:t>
      </w:r>
      <w:r>
        <w:rPr>
          <w:rFonts w:ascii="Times New Roman" w:hAnsi="Times New Roman" w:cs="Times New Roman"/>
          <w:vertAlign w:val="superscript"/>
        </w:rPr>
        <w:t>th</w:t>
      </w:r>
      <w:r>
        <w:rPr>
          <w:rFonts w:ascii="Times New Roman" w:hAnsi="Times New Roman" w:cs="Times New Roman"/>
        </w:rPr>
        <w:t xml:space="preserve"> Street, New York, NY 10075</w:t>
      </w:r>
    </w:p>
    <w:p w14:paraId="02E7B757" w14:textId="77777777" w:rsidR="00077E56" w:rsidRDefault="00077E56" w:rsidP="00077E56">
      <w:pPr>
        <w:spacing w:after="120"/>
        <w:rPr>
          <w:rFonts w:ascii="Times New Roman" w:hAnsi="Times New Roman" w:cs="Times New Roman"/>
        </w:rPr>
      </w:pPr>
    </w:p>
    <w:p w14:paraId="0E71456C" w14:textId="77777777" w:rsidR="00077E56" w:rsidRDefault="00077E56" w:rsidP="00077E56">
      <w:pPr>
        <w:spacing w:after="120"/>
        <w:rPr>
          <w:rFonts w:ascii="Times New Roman" w:eastAsia="Times New Roman" w:hAnsi="Times New Roman" w:cs="Times New Roman"/>
          <w:color w:val="000000" w:themeColor="text1"/>
        </w:rPr>
      </w:pPr>
      <w:r>
        <w:rPr>
          <w:rFonts w:ascii="Times New Roman" w:hAnsi="Times New Roman" w:cs="Times New Roman"/>
          <w:b/>
        </w:rPr>
        <w:t xml:space="preserve">Background: </w:t>
      </w:r>
      <w:r>
        <w:rPr>
          <w:rFonts w:ascii="Times New Roman" w:eastAsia="Times New Roman" w:hAnsi="Times New Roman" w:cs="Times New Roman"/>
          <w:color w:val="000000" w:themeColor="text1"/>
        </w:rPr>
        <w:t>Foot infections may arise in patients with diabetes, vascular disease, or in association with a surgical site wound. Empiric regimens are controversial with most of the available literature limited to diabetic foot wounds. The current practice at our institution is often provider preference, and many patients are started empirically on ampicillin/sulbactam.</w:t>
      </w:r>
    </w:p>
    <w:p w14:paraId="2A80F849" w14:textId="77777777" w:rsidR="00077E56" w:rsidRDefault="00077E56" w:rsidP="00077E56">
      <w:pPr>
        <w:spacing w:after="120"/>
        <w:rPr>
          <w:rFonts w:ascii="Times New Roman" w:eastAsia="Times New Roman" w:hAnsi="Times New Roman" w:cs="Times New Roman"/>
          <w:color w:val="000000" w:themeColor="text1"/>
        </w:rPr>
      </w:pPr>
      <w:r>
        <w:rPr>
          <w:rFonts w:ascii="Times New Roman" w:hAnsi="Times New Roman" w:cs="Times New Roman"/>
          <w:b/>
        </w:rPr>
        <w:t>Objective:</w:t>
      </w:r>
      <w:r>
        <w:rPr>
          <w:rFonts w:ascii="Times New Roman" w:hAnsi="Times New Roman" w:cs="Times New Roman"/>
        </w:rPr>
        <w:t xml:space="preserve"> </w:t>
      </w:r>
      <w:r>
        <w:rPr>
          <w:rFonts w:ascii="Times New Roman" w:eastAsia="Times New Roman" w:hAnsi="Times New Roman" w:cs="Times New Roman"/>
          <w:color w:val="000000" w:themeColor="text1"/>
        </w:rPr>
        <w:t>To determine if ampicillin/sulbactam is an appropriate empiric regimen in patients with foot infections associated with diabetes, vascular disease, and surgery. To identify a suitable alternative regimen if empiric ampicillin/sulbactam is suboptimal.</w:t>
      </w:r>
    </w:p>
    <w:p w14:paraId="30C1CDE8" w14:textId="77777777" w:rsidR="00077E56" w:rsidRDefault="00077E56" w:rsidP="00077E56">
      <w:pPr>
        <w:spacing w:after="120"/>
        <w:rPr>
          <w:rFonts w:ascii="Times New Roman" w:eastAsia="Times New Roman" w:hAnsi="Times New Roman" w:cs="Times New Roman"/>
          <w:color w:val="000000" w:themeColor="text1"/>
        </w:rPr>
      </w:pPr>
      <w:r>
        <w:rPr>
          <w:rFonts w:ascii="Times New Roman" w:hAnsi="Times New Roman" w:cs="Times New Roman"/>
          <w:b/>
        </w:rPr>
        <w:t>Methods:</w:t>
      </w:r>
      <w:r>
        <w:rPr>
          <w:rFonts w:ascii="Times New Roman" w:hAnsi="Times New Roman" w:cs="Times New Roman"/>
        </w:rPr>
        <w:t xml:space="preserve"> </w:t>
      </w:r>
      <w:r>
        <w:rPr>
          <w:rFonts w:ascii="Times New Roman" w:eastAsia="Times New Roman" w:hAnsi="Times New Roman" w:cs="Times New Roman"/>
          <w:bCs/>
          <w:color w:val="000000" w:themeColor="text1"/>
        </w:rPr>
        <w:t>R</w:t>
      </w:r>
      <w:r>
        <w:rPr>
          <w:rFonts w:ascii="Times New Roman" w:eastAsia="Times New Roman" w:hAnsi="Times New Roman" w:cs="Times New Roman"/>
          <w:color w:val="000000" w:themeColor="text1"/>
        </w:rPr>
        <w:t>etrospective chart review of patients admitted for foot infections associated with diabetes, vascular disease, or surgery. Patients were divided into two groups: surgical site infections and non-surgical site infections. The primary outcome was the percentage of patients started on empiric ampicillin/sulbactam with adequate coverage based on culture.</w:t>
      </w:r>
    </w:p>
    <w:p w14:paraId="1604F867" w14:textId="77777777" w:rsidR="00077E56" w:rsidRDefault="00077E56" w:rsidP="00077E56">
      <w:pPr>
        <w:spacing w:after="120"/>
        <w:rPr>
          <w:rFonts w:ascii="Times New Roman" w:hAnsi="Times New Roman" w:cs="Times New Roman"/>
        </w:rPr>
      </w:pPr>
      <w:r>
        <w:rPr>
          <w:rFonts w:ascii="Times New Roman" w:hAnsi="Times New Roman" w:cs="Times New Roman"/>
          <w:b/>
        </w:rPr>
        <w:t>Results:</w:t>
      </w:r>
      <w:r>
        <w:rPr>
          <w:rFonts w:ascii="Times New Roman" w:hAnsi="Times New Roman" w:cs="Times New Roman"/>
        </w:rPr>
        <w:t xml:space="preserve"> In progress</w:t>
      </w:r>
    </w:p>
    <w:p w14:paraId="57BA46F5" w14:textId="77777777" w:rsidR="00077E56" w:rsidRDefault="00077E56" w:rsidP="00077E56">
      <w:pPr>
        <w:spacing w:after="120"/>
        <w:rPr>
          <w:rFonts w:ascii="Times New Roman" w:hAnsi="Times New Roman" w:cs="Times New Roman"/>
        </w:rPr>
      </w:pPr>
      <w:r>
        <w:rPr>
          <w:rFonts w:ascii="Times New Roman" w:hAnsi="Times New Roman" w:cs="Times New Roman"/>
          <w:b/>
        </w:rPr>
        <w:t>Conclusions:</w:t>
      </w:r>
      <w:r>
        <w:rPr>
          <w:rFonts w:ascii="Times New Roman" w:hAnsi="Times New Roman" w:cs="Times New Roman"/>
        </w:rPr>
        <w:t xml:space="preserve"> In progress</w:t>
      </w:r>
    </w:p>
    <w:p w14:paraId="5E14B9BA" w14:textId="2041000B" w:rsidR="00077E56" w:rsidRDefault="00077E56" w:rsidP="0007657F">
      <w:pPr>
        <w:rPr>
          <w:sz w:val="24"/>
          <w:szCs w:val="24"/>
        </w:rPr>
      </w:pPr>
    </w:p>
    <w:p w14:paraId="78AB7411" w14:textId="6490BAB7" w:rsidR="00077E56" w:rsidRDefault="00077E56" w:rsidP="0007657F">
      <w:pPr>
        <w:rPr>
          <w:sz w:val="24"/>
          <w:szCs w:val="24"/>
        </w:rPr>
      </w:pPr>
    </w:p>
    <w:p w14:paraId="1F57F924" w14:textId="0CFD9AD2" w:rsidR="00077E56" w:rsidRDefault="00077E56" w:rsidP="0007657F">
      <w:pPr>
        <w:rPr>
          <w:sz w:val="24"/>
          <w:szCs w:val="24"/>
        </w:rPr>
      </w:pPr>
    </w:p>
    <w:p w14:paraId="78291B5D" w14:textId="5C0BBE03" w:rsidR="00077E56" w:rsidRDefault="00077E56" w:rsidP="0007657F">
      <w:pPr>
        <w:rPr>
          <w:sz w:val="24"/>
          <w:szCs w:val="24"/>
        </w:rPr>
      </w:pPr>
    </w:p>
    <w:p w14:paraId="4985636A" w14:textId="1D43A9AF" w:rsidR="00077E56" w:rsidRDefault="00077E56" w:rsidP="0007657F">
      <w:pPr>
        <w:rPr>
          <w:sz w:val="24"/>
          <w:szCs w:val="24"/>
        </w:rPr>
      </w:pPr>
    </w:p>
    <w:p w14:paraId="47D15FB0" w14:textId="4650B6DB" w:rsidR="00077E56" w:rsidRDefault="00077E56" w:rsidP="0007657F">
      <w:pPr>
        <w:rPr>
          <w:sz w:val="24"/>
          <w:szCs w:val="24"/>
        </w:rPr>
      </w:pPr>
    </w:p>
    <w:p w14:paraId="2183DA2F" w14:textId="5A5602C2" w:rsidR="00077E56" w:rsidRDefault="00077E56" w:rsidP="0007657F">
      <w:pPr>
        <w:rPr>
          <w:sz w:val="24"/>
          <w:szCs w:val="24"/>
        </w:rPr>
      </w:pPr>
    </w:p>
    <w:p w14:paraId="30B4A378" w14:textId="1CF00804" w:rsidR="00077E56" w:rsidRDefault="00077E56" w:rsidP="0007657F">
      <w:pPr>
        <w:rPr>
          <w:sz w:val="24"/>
          <w:szCs w:val="24"/>
        </w:rPr>
      </w:pPr>
    </w:p>
    <w:p w14:paraId="3F7037A0" w14:textId="4F12DB7A" w:rsidR="00077E56" w:rsidRDefault="00077E56" w:rsidP="0007657F">
      <w:pPr>
        <w:rPr>
          <w:sz w:val="24"/>
          <w:szCs w:val="24"/>
        </w:rPr>
      </w:pPr>
    </w:p>
    <w:p w14:paraId="217AB5CF" w14:textId="7B9D7B8B" w:rsidR="00077E56" w:rsidRDefault="00077E56" w:rsidP="0007657F">
      <w:pPr>
        <w:rPr>
          <w:sz w:val="24"/>
          <w:szCs w:val="24"/>
        </w:rPr>
      </w:pPr>
    </w:p>
    <w:p w14:paraId="63999049" w14:textId="1541260D" w:rsidR="00077E56" w:rsidRDefault="00077E56" w:rsidP="0007657F">
      <w:pPr>
        <w:rPr>
          <w:sz w:val="24"/>
          <w:szCs w:val="24"/>
        </w:rPr>
      </w:pPr>
    </w:p>
    <w:p w14:paraId="7F5D78EA" w14:textId="3FF4B20D" w:rsidR="00077E56" w:rsidRDefault="00077E56" w:rsidP="0007657F">
      <w:pPr>
        <w:rPr>
          <w:sz w:val="24"/>
          <w:szCs w:val="24"/>
        </w:rPr>
      </w:pPr>
    </w:p>
    <w:p w14:paraId="295F7F1B" w14:textId="4F9BF53E" w:rsidR="00077E56" w:rsidRDefault="00077E56" w:rsidP="0007657F">
      <w:pPr>
        <w:rPr>
          <w:sz w:val="24"/>
          <w:szCs w:val="24"/>
        </w:rPr>
      </w:pPr>
    </w:p>
    <w:p w14:paraId="2D1C1B79" w14:textId="2A56C388" w:rsidR="00077E56" w:rsidRDefault="00077E56" w:rsidP="0007657F">
      <w:pPr>
        <w:rPr>
          <w:sz w:val="24"/>
          <w:szCs w:val="24"/>
        </w:rPr>
      </w:pPr>
    </w:p>
    <w:p w14:paraId="5D97F253" w14:textId="293843A7" w:rsidR="00077E56" w:rsidRDefault="00077E56" w:rsidP="0007657F">
      <w:pPr>
        <w:rPr>
          <w:sz w:val="24"/>
          <w:szCs w:val="24"/>
        </w:rPr>
      </w:pPr>
    </w:p>
    <w:p w14:paraId="0C9DBCA3" w14:textId="77777777" w:rsidR="00077E56" w:rsidRPr="00077E56" w:rsidRDefault="00077E56" w:rsidP="00077E56">
      <w:pPr>
        <w:rPr>
          <w:rFonts w:ascii="Times New Roman" w:hAnsi="Times New Roman" w:cs="Times New Roman"/>
        </w:rPr>
      </w:pPr>
      <w:r w:rsidRPr="00077E56">
        <w:rPr>
          <w:rFonts w:ascii="Times New Roman" w:hAnsi="Times New Roman" w:cs="Times New Roman"/>
        </w:rPr>
        <w:lastRenderedPageBreak/>
        <w:t>IMPLEMENTATION OF A PHARMACIST-DRIVEN ANTIMICROBIAL STEWARDSHIP INITIATIVE IN PRIMARY CARE: A MULTICENTER EVALUATION</w:t>
      </w:r>
    </w:p>
    <w:p w14:paraId="1A5A7E43" w14:textId="77777777" w:rsidR="00077E56" w:rsidRPr="00077E56" w:rsidRDefault="00077E56" w:rsidP="00077E56">
      <w:pPr>
        <w:rPr>
          <w:rFonts w:ascii="Times New Roman" w:hAnsi="Times New Roman" w:cs="Times New Roman"/>
          <w:u w:val="single"/>
        </w:rPr>
      </w:pPr>
      <w:r w:rsidRPr="00077E56">
        <w:rPr>
          <w:rFonts w:ascii="Times New Roman" w:hAnsi="Times New Roman" w:cs="Times New Roman"/>
          <w:u w:val="single"/>
        </w:rPr>
        <w:t>Wozniak A*</w:t>
      </w:r>
      <w:r w:rsidRPr="00077E56">
        <w:rPr>
          <w:rFonts w:ascii="Times New Roman" w:hAnsi="Times New Roman" w:cs="Times New Roman"/>
        </w:rPr>
        <w:t xml:space="preserve">, </w:t>
      </w:r>
      <w:r w:rsidRPr="00077E56">
        <w:rPr>
          <w:rFonts w:ascii="Times New Roman" w:hAnsi="Times New Roman" w:cs="Times New Roman"/>
          <w:u w:val="single"/>
        </w:rPr>
        <w:t>Wilcox K</w:t>
      </w:r>
      <w:r w:rsidRPr="00077E56">
        <w:rPr>
          <w:rFonts w:ascii="Times New Roman" w:hAnsi="Times New Roman" w:cs="Times New Roman"/>
        </w:rPr>
        <w:t xml:space="preserve">, </w:t>
      </w:r>
      <w:r w:rsidRPr="00077E56">
        <w:rPr>
          <w:rFonts w:ascii="Times New Roman" w:hAnsi="Times New Roman" w:cs="Times New Roman"/>
          <w:u w:val="single"/>
        </w:rPr>
        <w:t>Peace M</w:t>
      </w:r>
    </w:p>
    <w:p w14:paraId="1CAA8EA8" w14:textId="77777777" w:rsidR="00077E56" w:rsidRPr="00077E56" w:rsidRDefault="00077E56" w:rsidP="00077E56">
      <w:pPr>
        <w:rPr>
          <w:rFonts w:ascii="Times New Roman" w:hAnsi="Times New Roman" w:cs="Times New Roman"/>
        </w:rPr>
      </w:pPr>
      <w:r w:rsidRPr="00077E56">
        <w:rPr>
          <w:rFonts w:ascii="Times New Roman" w:hAnsi="Times New Roman" w:cs="Times New Roman"/>
        </w:rPr>
        <w:t>Mercy Comprehensive Care Center, 397 Louisiana St, Buffalo NY 14204</w:t>
      </w:r>
    </w:p>
    <w:p w14:paraId="562F73E2" w14:textId="77777777" w:rsidR="00077E56" w:rsidRPr="00077E56" w:rsidRDefault="00077E56" w:rsidP="00077E56">
      <w:pPr>
        <w:rPr>
          <w:rFonts w:ascii="Times New Roman" w:hAnsi="Times New Roman" w:cs="Times New Roman"/>
          <w:b/>
        </w:rPr>
      </w:pPr>
      <w:r w:rsidRPr="00077E56">
        <w:rPr>
          <w:rFonts w:ascii="Times New Roman" w:hAnsi="Times New Roman" w:cs="Times New Roman"/>
          <w:b/>
        </w:rPr>
        <w:t xml:space="preserve">Background: </w:t>
      </w:r>
      <w:r w:rsidRPr="00077E56">
        <w:rPr>
          <w:rFonts w:ascii="Times New Roman" w:hAnsi="Times New Roman" w:cs="Times New Roman"/>
        </w:rPr>
        <w:t>It is estimated that half of antibiotics prescribed in the outpatient setting are inappropriate in terms of medication selection, dosing, and duration. In 2015, a National Action Plan for Combating Antibiotic Resistance Bacteria was released, targeting a 50% reduction in inappropriate antibiotic prescribing in the outpatient setting. Effective January 1</w:t>
      </w:r>
      <w:r w:rsidRPr="00077E56">
        <w:rPr>
          <w:rFonts w:ascii="Times New Roman" w:hAnsi="Times New Roman" w:cs="Times New Roman"/>
          <w:vertAlign w:val="superscript"/>
        </w:rPr>
        <w:t>st</w:t>
      </w:r>
      <w:r w:rsidRPr="00077E56">
        <w:rPr>
          <w:rFonts w:ascii="Times New Roman" w:hAnsi="Times New Roman" w:cs="Times New Roman"/>
        </w:rPr>
        <w:t>, 2020 new antimicrobial stewardship requirements became applicable to Joint Commission-accredited ambulatory health care organizations that routinely prescribe antimicrobial medications.</w:t>
      </w:r>
    </w:p>
    <w:p w14:paraId="757D8F6C" w14:textId="77777777" w:rsidR="00077E56" w:rsidRPr="00077E56" w:rsidRDefault="00077E56" w:rsidP="00077E56">
      <w:pPr>
        <w:rPr>
          <w:rFonts w:ascii="Times New Roman" w:hAnsi="Times New Roman" w:cs="Times New Roman"/>
          <w:b/>
        </w:rPr>
      </w:pPr>
      <w:r w:rsidRPr="00077E56">
        <w:rPr>
          <w:rFonts w:ascii="Times New Roman" w:hAnsi="Times New Roman" w:cs="Times New Roman"/>
          <w:b/>
        </w:rPr>
        <w:t xml:space="preserve">Objective: </w:t>
      </w:r>
      <w:r w:rsidRPr="00077E56">
        <w:rPr>
          <w:rFonts w:ascii="Times New Roman" w:hAnsi="Times New Roman" w:cs="Times New Roman"/>
        </w:rPr>
        <w:t>The primary objective of this study is to measure the impact of an antimicrobial stewardship educational initiative in the ambulatory care setting via changing of prescribing patterns.</w:t>
      </w:r>
    </w:p>
    <w:p w14:paraId="6CF418C5" w14:textId="77777777" w:rsidR="00077E56" w:rsidRPr="00077E56" w:rsidRDefault="00077E56" w:rsidP="00077E56">
      <w:pPr>
        <w:rPr>
          <w:rFonts w:ascii="Times New Roman" w:hAnsi="Times New Roman" w:cs="Times New Roman"/>
        </w:rPr>
      </w:pPr>
      <w:r w:rsidRPr="00077E56">
        <w:rPr>
          <w:rFonts w:ascii="Times New Roman" w:hAnsi="Times New Roman" w:cs="Times New Roman"/>
          <w:b/>
        </w:rPr>
        <w:t xml:space="preserve">Methods: </w:t>
      </w:r>
      <w:r w:rsidRPr="00077E56">
        <w:rPr>
          <w:rFonts w:ascii="Times New Roman" w:hAnsi="Times New Roman" w:cs="Times New Roman"/>
        </w:rPr>
        <w:t>This project was approved by the Institutional Review Board as a two-phase pre-post study design. The first phase is a retrospective chart review of the electronic medical record to assess historical antimicrobial prescribing patterns. The second phase is a chart review to assess prescribing patterns after the intervention; implementing educational materials at the ambulatory care clinic. These educational materials will include a reference sheet specifying recommended empiric treatments, algorithms for determining empiric treatment for varying types of urinary tract infections, and educational presentations by the pharmacy team</w:t>
      </w:r>
    </w:p>
    <w:p w14:paraId="6B672531" w14:textId="77777777" w:rsidR="00077E56" w:rsidRPr="00077E56" w:rsidRDefault="00077E56" w:rsidP="00077E56">
      <w:pPr>
        <w:rPr>
          <w:rFonts w:ascii="Times New Roman" w:hAnsi="Times New Roman" w:cs="Times New Roman"/>
          <w:b/>
        </w:rPr>
      </w:pPr>
    </w:p>
    <w:p w14:paraId="6F0AAABB" w14:textId="77777777" w:rsidR="00077E56" w:rsidRPr="00077E56" w:rsidRDefault="00077E56" w:rsidP="00077E56">
      <w:pPr>
        <w:rPr>
          <w:rFonts w:ascii="Times New Roman" w:hAnsi="Times New Roman" w:cs="Times New Roman"/>
        </w:rPr>
      </w:pPr>
      <w:r w:rsidRPr="00077E56">
        <w:rPr>
          <w:rFonts w:ascii="Times New Roman" w:hAnsi="Times New Roman" w:cs="Times New Roman"/>
          <w:b/>
        </w:rPr>
        <w:t xml:space="preserve">Results: </w:t>
      </w:r>
      <w:r w:rsidRPr="00077E56">
        <w:rPr>
          <w:rFonts w:ascii="Times New Roman" w:hAnsi="Times New Roman" w:cs="Times New Roman"/>
        </w:rPr>
        <w:t>Research in progress</w:t>
      </w:r>
    </w:p>
    <w:p w14:paraId="0744B15D" w14:textId="77777777" w:rsidR="00077E56" w:rsidRPr="00077E56" w:rsidRDefault="00077E56" w:rsidP="00077E56">
      <w:pPr>
        <w:rPr>
          <w:rFonts w:ascii="Times New Roman" w:hAnsi="Times New Roman" w:cs="Times New Roman"/>
        </w:rPr>
      </w:pPr>
      <w:r w:rsidRPr="00077E56">
        <w:rPr>
          <w:rFonts w:ascii="Times New Roman" w:hAnsi="Times New Roman" w:cs="Times New Roman"/>
          <w:b/>
        </w:rPr>
        <w:t xml:space="preserve">Conclusions: </w:t>
      </w:r>
      <w:r w:rsidRPr="00077E56">
        <w:rPr>
          <w:rFonts w:ascii="Times New Roman" w:hAnsi="Times New Roman" w:cs="Times New Roman"/>
        </w:rPr>
        <w:t xml:space="preserve">Research in progress </w:t>
      </w:r>
    </w:p>
    <w:p w14:paraId="6E882DEA" w14:textId="7154DFC6" w:rsidR="00077E56" w:rsidRDefault="00077E56" w:rsidP="0007657F">
      <w:pPr>
        <w:rPr>
          <w:sz w:val="24"/>
          <w:szCs w:val="24"/>
        </w:rPr>
      </w:pPr>
    </w:p>
    <w:p w14:paraId="6019A876" w14:textId="5360A8AF" w:rsidR="00077E56" w:rsidRDefault="00077E56" w:rsidP="0007657F">
      <w:pPr>
        <w:rPr>
          <w:sz w:val="24"/>
          <w:szCs w:val="24"/>
        </w:rPr>
      </w:pPr>
    </w:p>
    <w:p w14:paraId="3E34180B" w14:textId="6F8B28FF" w:rsidR="00077E56" w:rsidRDefault="00077E56" w:rsidP="0007657F">
      <w:pPr>
        <w:rPr>
          <w:sz w:val="24"/>
          <w:szCs w:val="24"/>
        </w:rPr>
      </w:pPr>
    </w:p>
    <w:p w14:paraId="48B0B805" w14:textId="3E907B8C" w:rsidR="00077E56" w:rsidRDefault="00077E56" w:rsidP="0007657F">
      <w:pPr>
        <w:rPr>
          <w:sz w:val="24"/>
          <w:szCs w:val="24"/>
        </w:rPr>
      </w:pPr>
    </w:p>
    <w:p w14:paraId="47E07AA2" w14:textId="09CD6B5A" w:rsidR="00077E56" w:rsidRDefault="00077E56" w:rsidP="0007657F">
      <w:pPr>
        <w:rPr>
          <w:sz w:val="24"/>
          <w:szCs w:val="24"/>
        </w:rPr>
      </w:pPr>
    </w:p>
    <w:p w14:paraId="289C0EA6" w14:textId="05EABD91" w:rsidR="00077E56" w:rsidRDefault="00077E56" w:rsidP="0007657F">
      <w:pPr>
        <w:rPr>
          <w:sz w:val="24"/>
          <w:szCs w:val="24"/>
        </w:rPr>
      </w:pPr>
    </w:p>
    <w:p w14:paraId="19770D30" w14:textId="0741B60B" w:rsidR="00077E56" w:rsidRDefault="00077E56" w:rsidP="0007657F">
      <w:pPr>
        <w:rPr>
          <w:sz w:val="24"/>
          <w:szCs w:val="24"/>
        </w:rPr>
      </w:pPr>
    </w:p>
    <w:p w14:paraId="7EF18209" w14:textId="12167C66" w:rsidR="00077E56" w:rsidRDefault="00077E56" w:rsidP="0007657F">
      <w:pPr>
        <w:rPr>
          <w:sz w:val="24"/>
          <w:szCs w:val="24"/>
        </w:rPr>
      </w:pPr>
    </w:p>
    <w:p w14:paraId="03AF028A" w14:textId="6C01256C" w:rsidR="00077E56" w:rsidRDefault="00077E56" w:rsidP="0007657F">
      <w:pPr>
        <w:rPr>
          <w:sz w:val="24"/>
          <w:szCs w:val="24"/>
        </w:rPr>
      </w:pPr>
    </w:p>
    <w:p w14:paraId="03059068" w14:textId="0781961D" w:rsidR="00077E56" w:rsidRDefault="00077E56" w:rsidP="0007657F">
      <w:pPr>
        <w:rPr>
          <w:sz w:val="24"/>
          <w:szCs w:val="24"/>
        </w:rPr>
      </w:pPr>
    </w:p>
    <w:p w14:paraId="11689016" w14:textId="736C5347" w:rsidR="00077E56" w:rsidRDefault="00077E56" w:rsidP="0007657F">
      <w:pPr>
        <w:rPr>
          <w:sz w:val="24"/>
          <w:szCs w:val="24"/>
        </w:rPr>
      </w:pPr>
    </w:p>
    <w:p w14:paraId="1DC3BDB3" w14:textId="7951314C" w:rsidR="00077E56" w:rsidRDefault="00077E56" w:rsidP="0007657F">
      <w:pPr>
        <w:rPr>
          <w:sz w:val="24"/>
          <w:szCs w:val="24"/>
        </w:rPr>
      </w:pPr>
    </w:p>
    <w:p w14:paraId="10320932" w14:textId="77777777" w:rsidR="004A33D4" w:rsidRPr="004A33D4" w:rsidRDefault="004A33D4" w:rsidP="004A33D4">
      <w:pPr>
        <w:rPr>
          <w:rFonts w:ascii="Times New Roman" w:hAnsi="Times New Roman" w:cs="Times New Roman"/>
        </w:rPr>
      </w:pPr>
      <w:r w:rsidRPr="004A33D4">
        <w:rPr>
          <w:rFonts w:ascii="Times New Roman" w:hAnsi="Times New Roman" w:cs="Times New Roman"/>
        </w:rPr>
        <w:lastRenderedPageBreak/>
        <w:t>IMPACT OF PHARMACY-DRIVEN EDUCATION ON CEFAZOLIN UTILIZATION IN PATIENTS WITH A LABELED PENICILLIN ALLERGY</w:t>
      </w:r>
    </w:p>
    <w:p w14:paraId="6A976BD9" w14:textId="77777777" w:rsidR="004A33D4" w:rsidRPr="004A33D4" w:rsidRDefault="004A33D4" w:rsidP="004A33D4">
      <w:pPr>
        <w:rPr>
          <w:rFonts w:ascii="Times New Roman" w:hAnsi="Times New Roman" w:cs="Times New Roman"/>
        </w:rPr>
      </w:pPr>
    </w:p>
    <w:p w14:paraId="4E1155DF" w14:textId="77777777" w:rsidR="004A33D4" w:rsidRPr="004A33D4" w:rsidRDefault="004A33D4" w:rsidP="004A33D4">
      <w:pPr>
        <w:rPr>
          <w:rFonts w:ascii="Times New Roman" w:hAnsi="Times New Roman" w:cs="Times New Roman"/>
        </w:rPr>
      </w:pPr>
      <w:r w:rsidRPr="004A33D4">
        <w:rPr>
          <w:rFonts w:ascii="Times New Roman" w:hAnsi="Times New Roman" w:cs="Times New Roman"/>
          <w:u w:val="single"/>
        </w:rPr>
        <w:t>Peebles A</w:t>
      </w:r>
      <w:r w:rsidRPr="004A33D4">
        <w:rPr>
          <w:rFonts w:ascii="Times New Roman" w:hAnsi="Times New Roman" w:cs="Times New Roman"/>
        </w:rPr>
        <w:t xml:space="preserve">*, </w:t>
      </w:r>
      <w:r w:rsidRPr="004A33D4">
        <w:rPr>
          <w:rFonts w:ascii="Times New Roman" w:hAnsi="Times New Roman" w:cs="Times New Roman"/>
          <w:u w:val="single"/>
        </w:rPr>
        <w:t>Whalen K</w:t>
      </w:r>
      <w:r w:rsidRPr="004A33D4">
        <w:rPr>
          <w:rFonts w:ascii="Times New Roman" w:hAnsi="Times New Roman" w:cs="Times New Roman"/>
        </w:rPr>
        <w:t xml:space="preserve">, </w:t>
      </w:r>
      <w:r w:rsidRPr="004A33D4">
        <w:rPr>
          <w:rFonts w:ascii="Times New Roman" w:hAnsi="Times New Roman" w:cs="Times New Roman"/>
          <w:u w:val="single"/>
        </w:rPr>
        <w:t>Rahme C</w:t>
      </w:r>
      <w:r w:rsidRPr="004A33D4">
        <w:rPr>
          <w:rFonts w:ascii="Times New Roman" w:hAnsi="Times New Roman" w:cs="Times New Roman"/>
        </w:rPr>
        <w:t xml:space="preserve">, </w:t>
      </w:r>
      <w:r w:rsidRPr="004A33D4">
        <w:rPr>
          <w:rFonts w:ascii="Times New Roman" w:hAnsi="Times New Roman" w:cs="Times New Roman"/>
          <w:u w:val="single"/>
        </w:rPr>
        <w:t>Sessa J</w:t>
      </w:r>
      <w:r w:rsidRPr="004A33D4">
        <w:rPr>
          <w:rFonts w:ascii="Times New Roman" w:hAnsi="Times New Roman" w:cs="Times New Roman"/>
        </w:rPr>
        <w:t xml:space="preserve">, </w:t>
      </w:r>
      <w:r w:rsidRPr="004A33D4">
        <w:rPr>
          <w:rFonts w:ascii="Times New Roman" w:hAnsi="Times New Roman" w:cs="Times New Roman"/>
          <w:u w:val="single"/>
        </w:rPr>
        <w:t>Goho R</w:t>
      </w:r>
      <w:r w:rsidRPr="004A33D4">
        <w:rPr>
          <w:rFonts w:ascii="Times New Roman" w:hAnsi="Times New Roman" w:cs="Times New Roman"/>
        </w:rPr>
        <w:t xml:space="preserve">, </w:t>
      </w:r>
      <w:r w:rsidRPr="004A33D4">
        <w:rPr>
          <w:rFonts w:ascii="Times New Roman" w:hAnsi="Times New Roman" w:cs="Times New Roman"/>
          <w:u w:val="single"/>
        </w:rPr>
        <w:t>Avery L</w:t>
      </w:r>
    </w:p>
    <w:p w14:paraId="0A183763" w14:textId="77777777" w:rsidR="004A33D4" w:rsidRPr="004A33D4" w:rsidRDefault="004A33D4" w:rsidP="004A33D4">
      <w:pPr>
        <w:rPr>
          <w:rFonts w:ascii="Times New Roman" w:hAnsi="Times New Roman" w:cs="Times New Roman"/>
        </w:rPr>
      </w:pPr>
    </w:p>
    <w:p w14:paraId="5E118F9A" w14:textId="77777777" w:rsidR="004A33D4" w:rsidRPr="004A33D4" w:rsidRDefault="004A33D4" w:rsidP="004A33D4">
      <w:pPr>
        <w:rPr>
          <w:rFonts w:ascii="Times New Roman" w:hAnsi="Times New Roman" w:cs="Times New Roman"/>
        </w:rPr>
      </w:pPr>
      <w:r w:rsidRPr="004A33D4">
        <w:rPr>
          <w:rFonts w:ascii="Times New Roman" w:hAnsi="Times New Roman" w:cs="Times New Roman"/>
        </w:rPr>
        <w:t>St. Joseph’s Hospital Health Center, 301 Prospect Ave, Syracuse, NY 13203</w:t>
      </w:r>
    </w:p>
    <w:p w14:paraId="62BF0174" w14:textId="77777777" w:rsidR="004A33D4" w:rsidRPr="004A33D4" w:rsidRDefault="004A33D4" w:rsidP="004A33D4">
      <w:pPr>
        <w:rPr>
          <w:rFonts w:ascii="Times New Roman" w:hAnsi="Times New Roman" w:cs="Times New Roman"/>
        </w:rPr>
      </w:pPr>
    </w:p>
    <w:p w14:paraId="54A7984E" w14:textId="77777777" w:rsidR="004A33D4" w:rsidRPr="004A33D4" w:rsidRDefault="004A33D4" w:rsidP="004A33D4">
      <w:pPr>
        <w:rPr>
          <w:rFonts w:ascii="Times New Roman" w:hAnsi="Times New Roman" w:cs="Times New Roman"/>
        </w:rPr>
      </w:pPr>
    </w:p>
    <w:p w14:paraId="3C8AC805" w14:textId="77777777" w:rsidR="004A33D4" w:rsidRPr="004A33D4" w:rsidRDefault="004A33D4" w:rsidP="004A33D4">
      <w:pPr>
        <w:rPr>
          <w:rFonts w:ascii="Times New Roman" w:hAnsi="Times New Roman" w:cs="Times New Roman"/>
          <w:bCs/>
        </w:rPr>
      </w:pPr>
      <w:r w:rsidRPr="004A33D4">
        <w:rPr>
          <w:rFonts w:ascii="Times New Roman" w:hAnsi="Times New Roman" w:cs="Times New Roman"/>
          <w:b/>
          <w:bCs/>
        </w:rPr>
        <w:t xml:space="preserve">Background: </w:t>
      </w:r>
      <w:r w:rsidRPr="004A33D4">
        <w:rPr>
          <w:rFonts w:ascii="Times New Roman" w:hAnsi="Times New Roman" w:cs="Times New Roman"/>
          <w:bCs/>
        </w:rPr>
        <w:t xml:space="preserve">Anti-staphylococcal penicillins and cephalosporins are preferred agents for methicillin-susceptible staphylococcus aureus (MSSA) infection treatment, and patients with a labeled penicillin allergy are likely to receive inferior therapy. At our institution, a policy outlines appropriate use of cefazolin in penicillin-allergic patients. </w:t>
      </w:r>
    </w:p>
    <w:p w14:paraId="33283FEF" w14:textId="77777777" w:rsidR="004A33D4" w:rsidRPr="004A33D4" w:rsidRDefault="004A33D4" w:rsidP="004A33D4">
      <w:pPr>
        <w:rPr>
          <w:rFonts w:ascii="Times New Roman" w:hAnsi="Times New Roman" w:cs="Times New Roman"/>
          <w:bCs/>
        </w:rPr>
      </w:pPr>
    </w:p>
    <w:p w14:paraId="2A297EAE" w14:textId="77777777" w:rsidR="004A33D4" w:rsidRPr="004A33D4" w:rsidRDefault="004A33D4" w:rsidP="004A33D4">
      <w:pPr>
        <w:rPr>
          <w:rFonts w:ascii="Times New Roman" w:hAnsi="Times New Roman" w:cs="Times New Roman"/>
          <w:bCs/>
        </w:rPr>
      </w:pPr>
      <w:r w:rsidRPr="004A33D4">
        <w:rPr>
          <w:rFonts w:ascii="Times New Roman" w:hAnsi="Times New Roman" w:cs="Times New Roman"/>
          <w:b/>
        </w:rPr>
        <w:t>Objective</w:t>
      </w:r>
      <w:r w:rsidRPr="004A33D4">
        <w:rPr>
          <w:rFonts w:ascii="Times New Roman" w:hAnsi="Times New Roman" w:cs="Times New Roman"/>
          <w:bCs/>
        </w:rPr>
        <w:t>: To determine the impact of pharmacist and prescriber education on cefazolin utilization for MSSA infections in patients with a labeled penicillin allergy (hives, rash, or intolerance).</w:t>
      </w:r>
    </w:p>
    <w:p w14:paraId="14ED9E4C" w14:textId="77777777" w:rsidR="004A33D4" w:rsidRPr="004A33D4" w:rsidRDefault="004A33D4" w:rsidP="004A33D4">
      <w:pPr>
        <w:rPr>
          <w:rFonts w:ascii="Times New Roman" w:hAnsi="Times New Roman" w:cs="Times New Roman"/>
          <w:bCs/>
        </w:rPr>
      </w:pPr>
    </w:p>
    <w:p w14:paraId="7ADE8F37" w14:textId="77777777" w:rsidR="004A33D4" w:rsidRPr="004A33D4" w:rsidRDefault="004A33D4" w:rsidP="004A33D4">
      <w:pPr>
        <w:rPr>
          <w:rFonts w:ascii="Times New Roman" w:hAnsi="Times New Roman" w:cs="Times New Roman"/>
        </w:rPr>
      </w:pPr>
      <w:r w:rsidRPr="004A33D4">
        <w:rPr>
          <w:rFonts w:ascii="Times New Roman" w:hAnsi="Times New Roman" w:cs="Times New Roman"/>
          <w:b/>
          <w:bCs/>
        </w:rPr>
        <w:t xml:space="preserve">Methods: </w:t>
      </w:r>
      <w:r w:rsidRPr="004A33D4">
        <w:rPr>
          <w:rFonts w:ascii="Times New Roman" w:hAnsi="Times New Roman" w:cs="Times New Roman"/>
        </w:rPr>
        <w:t xml:space="preserve">The IRB granted exempt status for this single-center, retrospective, observational, pre-post study. Study periods ranged from 1/1/2018-7/29/2020 (pre) and 10/1/2020-6/30/2021 (post). A report of positive MSSA cultures from all sources was provided by the </w:t>
      </w:r>
      <w:r w:rsidRPr="004A33D4">
        <w:rPr>
          <w:rFonts w:ascii="Times New Roman" w:hAnsi="Times New Roman" w:cs="Times New Roman"/>
          <w:color w:val="000000" w:themeColor="text1"/>
        </w:rPr>
        <w:t xml:space="preserve">microbiology </w:t>
      </w:r>
      <w:r w:rsidRPr="004A33D4">
        <w:rPr>
          <w:rFonts w:ascii="Times New Roman" w:hAnsi="Times New Roman" w:cs="Times New Roman"/>
        </w:rPr>
        <w:t xml:space="preserve">laboratory. Patients </w:t>
      </w:r>
      <w:r w:rsidRPr="004A33D4">
        <w:rPr>
          <w:rFonts w:ascii="Times New Roman" w:hAnsi="Times New Roman" w:cs="Times New Roman"/>
          <w:u w:val="single"/>
        </w:rPr>
        <w:t>&gt;</w:t>
      </w:r>
      <w:r w:rsidRPr="004A33D4">
        <w:rPr>
          <w:rFonts w:ascii="Times New Roman" w:hAnsi="Times New Roman" w:cs="Times New Roman"/>
        </w:rPr>
        <w:t xml:space="preserve">18 years, with a documented penicillin allergy of hives, rash or intolerance, admitted with any MSSA infection were included. The primary author created education on the hospital’s policy. </w:t>
      </w:r>
      <w:r w:rsidRPr="004A33D4">
        <w:rPr>
          <w:rFonts w:ascii="Times New Roman" w:hAnsi="Times New Roman" w:cs="Times New Roman"/>
          <w:color w:val="000000" w:themeColor="text1"/>
        </w:rPr>
        <w:t xml:space="preserve">Prescribers </w:t>
      </w:r>
      <w:r w:rsidRPr="004A33D4">
        <w:rPr>
          <w:rFonts w:ascii="Times New Roman" w:hAnsi="Times New Roman" w:cs="Times New Roman"/>
        </w:rPr>
        <w:t>received written, and pharmacists received live and/or written education</w:t>
      </w:r>
      <w:r w:rsidRPr="004A33D4">
        <w:rPr>
          <w:rFonts w:ascii="Times New Roman" w:hAnsi="Times New Roman" w:cs="Times New Roman"/>
          <w:color w:val="000000" w:themeColor="text1"/>
        </w:rPr>
        <w:t xml:space="preserve">. The </w:t>
      </w:r>
      <w:r w:rsidRPr="004A33D4">
        <w:rPr>
          <w:rFonts w:ascii="Times New Roman" w:hAnsi="Times New Roman" w:cs="Times New Roman"/>
        </w:rPr>
        <w:t>primary outcome was percentage of patients meeting inclusion criteria on cefazolin. Secondary outcomes included time (hours) to cefazolin conversion, number of adverse events that led to cefazolin discontinuation, and length of stay (days).</w:t>
      </w:r>
    </w:p>
    <w:p w14:paraId="4729275E" w14:textId="77777777" w:rsidR="004A33D4" w:rsidRPr="004A33D4" w:rsidRDefault="004A33D4" w:rsidP="004A33D4">
      <w:pPr>
        <w:rPr>
          <w:rFonts w:ascii="Times New Roman" w:hAnsi="Times New Roman" w:cs="Times New Roman"/>
        </w:rPr>
      </w:pPr>
    </w:p>
    <w:p w14:paraId="10D81AB1" w14:textId="77777777" w:rsidR="004A33D4" w:rsidRPr="004A33D4" w:rsidRDefault="004A33D4" w:rsidP="004A33D4">
      <w:pPr>
        <w:rPr>
          <w:rFonts w:ascii="Times New Roman" w:hAnsi="Times New Roman" w:cs="Times New Roman"/>
        </w:rPr>
      </w:pPr>
      <w:r w:rsidRPr="004A33D4">
        <w:rPr>
          <w:rFonts w:ascii="Times New Roman" w:hAnsi="Times New Roman" w:cs="Times New Roman"/>
          <w:b/>
          <w:bCs/>
        </w:rPr>
        <w:t xml:space="preserve">Results: </w:t>
      </w:r>
      <w:r w:rsidRPr="004A33D4">
        <w:rPr>
          <w:rFonts w:ascii="Times New Roman" w:hAnsi="Times New Roman" w:cs="Times New Roman"/>
        </w:rPr>
        <w:t xml:space="preserve">In the pre-period, 124 patients met inclusion criteria. Following exclusion criteria screening, 54 (44%) remained. Thirty-five (65%) were converted to cefazolin in a median (IQR) of </w:t>
      </w:r>
      <w:r w:rsidRPr="004A33D4">
        <w:rPr>
          <w:rFonts w:ascii="Times New Roman" w:hAnsi="Times New Roman" w:cs="Times New Roman"/>
          <w:color w:val="000000"/>
        </w:rPr>
        <w:t>44 (27.3-70.7) hours</w:t>
      </w:r>
      <w:r w:rsidRPr="004A33D4">
        <w:rPr>
          <w:rFonts w:ascii="Times New Roman" w:hAnsi="Times New Roman" w:cs="Times New Roman"/>
        </w:rPr>
        <w:t xml:space="preserve">. Cefazolin was discontinued in 1 patient due to a rash that developed 6 days after initiation. Length of stay was a median (IQR) of </w:t>
      </w:r>
      <w:r w:rsidRPr="004A33D4">
        <w:rPr>
          <w:rFonts w:ascii="Times New Roman" w:hAnsi="Times New Roman" w:cs="Times New Roman"/>
          <w:color w:val="000000"/>
        </w:rPr>
        <w:t>7.0 (4.0 – 12.8) days.</w:t>
      </w:r>
      <w:r w:rsidRPr="004A33D4">
        <w:rPr>
          <w:rFonts w:ascii="Times New Roman" w:hAnsi="Times New Roman" w:cs="Times New Roman"/>
        </w:rPr>
        <w:t xml:space="preserve"> Post-period results are currently pending.</w:t>
      </w:r>
    </w:p>
    <w:p w14:paraId="4D84AE19" w14:textId="77777777" w:rsidR="004A33D4" w:rsidRPr="004A33D4" w:rsidRDefault="004A33D4" w:rsidP="004A33D4">
      <w:pPr>
        <w:rPr>
          <w:rFonts w:ascii="Times New Roman" w:hAnsi="Times New Roman" w:cs="Times New Roman"/>
          <w:b/>
          <w:bCs/>
        </w:rPr>
      </w:pPr>
    </w:p>
    <w:p w14:paraId="7617DEF4" w14:textId="77777777" w:rsidR="004A33D4" w:rsidRPr="004A33D4" w:rsidRDefault="004A33D4" w:rsidP="004A33D4">
      <w:pPr>
        <w:rPr>
          <w:rFonts w:ascii="Times New Roman" w:hAnsi="Times New Roman" w:cs="Times New Roman"/>
        </w:rPr>
      </w:pPr>
      <w:r w:rsidRPr="004A33D4">
        <w:rPr>
          <w:rFonts w:ascii="Times New Roman" w:hAnsi="Times New Roman" w:cs="Times New Roman"/>
          <w:b/>
          <w:bCs/>
        </w:rPr>
        <w:t xml:space="preserve">Conclusions: </w:t>
      </w:r>
      <w:r w:rsidRPr="004A33D4">
        <w:rPr>
          <w:rFonts w:ascii="Times New Roman" w:hAnsi="Times New Roman" w:cs="Times New Roman"/>
        </w:rPr>
        <w:t xml:space="preserve">Analysis is pending post-period data completion. </w:t>
      </w:r>
    </w:p>
    <w:p w14:paraId="3ADD366F" w14:textId="0CD129BC" w:rsidR="00077E56" w:rsidRDefault="00077E56" w:rsidP="0007657F">
      <w:pPr>
        <w:rPr>
          <w:sz w:val="24"/>
          <w:szCs w:val="24"/>
        </w:rPr>
      </w:pPr>
    </w:p>
    <w:p w14:paraId="4F3AC4C6" w14:textId="1C9BB19B" w:rsidR="004A33D4" w:rsidRDefault="004A33D4" w:rsidP="0007657F">
      <w:pPr>
        <w:rPr>
          <w:sz w:val="24"/>
          <w:szCs w:val="24"/>
        </w:rPr>
      </w:pPr>
    </w:p>
    <w:p w14:paraId="1BF93A56" w14:textId="433FC378" w:rsidR="004A33D4" w:rsidRDefault="004A33D4" w:rsidP="0007657F">
      <w:pPr>
        <w:rPr>
          <w:sz w:val="24"/>
          <w:szCs w:val="24"/>
        </w:rPr>
      </w:pPr>
    </w:p>
    <w:p w14:paraId="3D057C1E" w14:textId="1677645E" w:rsidR="004A33D4" w:rsidRDefault="004A33D4" w:rsidP="0007657F">
      <w:pPr>
        <w:rPr>
          <w:sz w:val="24"/>
          <w:szCs w:val="24"/>
        </w:rPr>
      </w:pPr>
    </w:p>
    <w:p w14:paraId="4267A1A5" w14:textId="77777777" w:rsidR="004A33D4" w:rsidRDefault="004A33D4" w:rsidP="004A33D4">
      <w:pPr>
        <w:rPr>
          <w:rFonts w:ascii="Times New Roman" w:hAnsi="Times New Roman" w:cs="Times New Roman"/>
          <w:sz w:val="24"/>
          <w:szCs w:val="24"/>
        </w:rPr>
      </w:pPr>
      <w:r>
        <w:rPr>
          <w:rFonts w:ascii="Times New Roman" w:hAnsi="Times New Roman" w:cs="Times New Roman"/>
          <w:sz w:val="24"/>
          <w:szCs w:val="24"/>
        </w:rPr>
        <w:lastRenderedPageBreak/>
        <w:t>EFFECT OF INSULIN VERSUS ORAL AGENTS ON EARLY GLYCEMIC CONTROL FOLLOWING KIDNEY TRANSPLANT</w:t>
      </w:r>
    </w:p>
    <w:p w14:paraId="1CB119A0" w14:textId="77777777" w:rsidR="004A33D4" w:rsidRDefault="004A33D4" w:rsidP="004A33D4">
      <w:pPr>
        <w:rPr>
          <w:rFonts w:ascii="Times New Roman" w:hAnsi="Times New Roman" w:cs="Times New Roman"/>
          <w:sz w:val="24"/>
          <w:szCs w:val="24"/>
          <w:u w:val="single"/>
        </w:rPr>
      </w:pPr>
      <w:r>
        <w:rPr>
          <w:rFonts w:ascii="Times New Roman" w:hAnsi="Times New Roman" w:cs="Times New Roman"/>
          <w:sz w:val="24"/>
          <w:szCs w:val="24"/>
          <w:u w:val="single"/>
        </w:rPr>
        <w:t>Petrosan A*</w:t>
      </w:r>
      <w:r>
        <w:rPr>
          <w:rFonts w:ascii="Times New Roman" w:hAnsi="Times New Roman" w:cs="Times New Roman"/>
          <w:sz w:val="24"/>
          <w:szCs w:val="24"/>
        </w:rPr>
        <w:t xml:space="preserve">, </w:t>
      </w:r>
      <w:r>
        <w:rPr>
          <w:rFonts w:ascii="Times New Roman" w:hAnsi="Times New Roman" w:cs="Times New Roman"/>
          <w:sz w:val="24"/>
          <w:szCs w:val="24"/>
          <w:u w:val="single"/>
        </w:rPr>
        <w:t>Santeusanio A</w:t>
      </w:r>
      <w:r>
        <w:rPr>
          <w:rFonts w:ascii="Times New Roman" w:hAnsi="Times New Roman" w:cs="Times New Roman"/>
          <w:sz w:val="24"/>
          <w:szCs w:val="24"/>
        </w:rPr>
        <w:t xml:space="preserve">, </w:t>
      </w:r>
      <w:r>
        <w:rPr>
          <w:rFonts w:ascii="Times New Roman" w:hAnsi="Times New Roman" w:cs="Times New Roman"/>
          <w:sz w:val="24"/>
          <w:szCs w:val="24"/>
          <w:u w:val="single"/>
        </w:rPr>
        <w:t>Khaim R</w:t>
      </w:r>
      <w:r>
        <w:rPr>
          <w:rFonts w:ascii="Times New Roman" w:hAnsi="Times New Roman" w:cs="Times New Roman"/>
          <w:sz w:val="24"/>
          <w:szCs w:val="24"/>
        </w:rPr>
        <w:t xml:space="preserve">, </w:t>
      </w:r>
      <w:r>
        <w:rPr>
          <w:rFonts w:ascii="Times New Roman" w:hAnsi="Times New Roman" w:cs="Times New Roman"/>
          <w:sz w:val="24"/>
          <w:szCs w:val="24"/>
          <w:u w:val="single"/>
        </w:rPr>
        <w:t>Delaney V</w:t>
      </w:r>
    </w:p>
    <w:p w14:paraId="5130CB11" w14:textId="77777777" w:rsidR="004A33D4" w:rsidRDefault="004A33D4" w:rsidP="004A33D4">
      <w:pPr>
        <w:rPr>
          <w:rFonts w:ascii="Times New Roman" w:hAnsi="Times New Roman" w:cs="Times New Roman"/>
          <w:sz w:val="24"/>
          <w:szCs w:val="24"/>
        </w:rPr>
      </w:pPr>
      <w:r>
        <w:rPr>
          <w:rFonts w:ascii="Times New Roman" w:hAnsi="Times New Roman" w:cs="Times New Roman"/>
          <w:sz w:val="24"/>
          <w:szCs w:val="24"/>
        </w:rPr>
        <w:t>The Mount Sinai Hospital, 1 Gustave L. Levy Place, New York, NY 10029</w:t>
      </w:r>
    </w:p>
    <w:p w14:paraId="57EB3101" w14:textId="77777777" w:rsidR="004A33D4" w:rsidRDefault="004A33D4" w:rsidP="004A33D4">
      <w:pPr>
        <w:rPr>
          <w:rFonts w:ascii="Times New Roman" w:hAnsi="Times New Roman" w:cs="Times New Roman"/>
          <w:sz w:val="24"/>
          <w:szCs w:val="24"/>
        </w:rPr>
      </w:pPr>
    </w:p>
    <w:p w14:paraId="74C3C76E" w14:textId="77777777" w:rsidR="004A33D4" w:rsidRDefault="004A33D4" w:rsidP="004A33D4">
      <w:pPr>
        <w:rPr>
          <w:rFonts w:ascii="Times New Roman" w:hAnsi="Times New Roman" w:cs="Times New Roman"/>
          <w:sz w:val="24"/>
          <w:szCs w:val="24"/>
        </w:rPr>
      </w:pPr>
      <w:r>
        <w:rPr>
          <w:rFonts w:ascii="Times New Roman" w:hAnsi="Times New Roman" w:cs="Times New Roman"/>
          <w:b/>
          <w:sz w:val="24"/>
          <w:szCs w:val="24"/>
        </w:rPr>
        <w:t xml:space="preserve">Purpose: </w:t>
      </w:r>
      <w:r>
        <w:rPr>
          <w:rFonts w:ascii="Times New Roman" w:hAnsi="Times New Roman" w:cs="Times New Roman"/>
          <w:sz w:val="24"/>
          <w:szCs w:val="24"/>
        </w:rPr>
        <w:t>There is limited evidence analyzing the effectiveness of oral therapies relative to insulin on glycemic outcomes following kidney transplantation (KTx).</w:t>
      </w:r>
    </w:p>
    <w:p w14:paraId="15C6BF86" w14:textId="77777777" w:rsidR="004A33D4" w:rsidRDefault="004A33D4" w:rsidP="004A33D4">
      <w:pPr>
        <w:rPr>
          <w:rFonts w:ascii="Times New Roman" w:hAnsi="Times New Roman" w:cs="Times New Roman"/>
          <w:sz w:val="24"/>
          <w:szCs w:val="24"/>
        </w:rPr>
      </w:pPr>
      <w:r>
        <w:rPr>
          <w:rFonts w:ascii="Times New Roman" w:hAnsi="Times New Roman" w:cs="Times New Roman"/>
          <w:b/>
          <w:sz w:val="24"/>
          <w:szCs w:val="24"/>
        </w:rPr>
        <w:t xml:space="preserve">Methods: </w:t>
      </w:r>
      <w:r>
        <w:rPr>
          <w:rFonts w:ascii="Times New Roman" w:hAnsi="Times New Roman" w:cs="Times New Roman"/>
          <w:sz w:val="24"/>
          <w:szCs w:val="24"/>
        </w:rPr>
        <w:t>This was an IRB-approved, single-center, retrospective study of adult KTx recipients between 01/2014-05/2020, with new or worsening hyperglycemia. Patients were excluded if they had received a prior or combined organ transplant, had a history of type 1 diabetes or HIV, were converted to belatacept, or were on intensive insulin prior to transplant. Patients discharged on oral medications were matched 1:1 with patients receiving intensive insulin based on pre-transplant diabetes regimen, baseline hemoglobin A1c (HbA1c), duration of diabetes, and steroid maintenance. The primary endpoint was the number of hyperglycemia-related readmissions within 6 months of KTx. Key secondary endpoints included HbA1c at 6 months post-transplant, serum glucose levels within 1 month of KTx, and treated urinary or bloodstream infections.</w:t>
      </w:r>
    </w:p>
    <w:p w14:paraId="04AE3533" w14:textId="77777777" w:rsidR="004A33D4" w:rsidRDefault="004A33D4" w:rsidP="004A33D4">
      <w:pPr>
        <w:rPr>
          <w:rFonts w:ascii="Times New Roman" w:hAnsi="Times New Roman" w:cs="Times New Roman"/>
          <w:sz w:val="24"/>
          <w:szCs w:val="24"/>
        </w:rPr>
      </w:pPr>
      <w:r>
        <w:rPr>
          <w:rFonts w:ascii="Times New Roman" w:hAnsi="Times New Roman" w:cs="Times New Roman"/>
          <w:b/>
          <w:sz w:val="24"/>
          <w:szCs w:val="24"/>
        </w:rPr>
        <w:t>Results</w:t>
      </w:r>
      <w:r>
        <w:rPr>
          <w:rFonts w:ascii="Times New Roman" w:hAnsi="Times New Roman" w:cs="Times New Roman"/>
          <w:sz w:val="24"/>
          <w:szCs w:val="24"/>
        </w:rPr>
        <w:t xml:space="preserve">: 30 patients prescribed intensive insulin were matched to 30 patients receiving oral therapies based on clinical parameters. Baseline characteristics were similar between groups, except there were more Caucasians in the insulin group. There were no differences between groups in the incidence of the primary endpoint (3.3% vs 6.7%; p=0.55) or all-cause readmissions within 30 days; however, 9 patients in the oral group required the use of emergency sliding scale insulin and 7 (23.3%) subsequently were converted to standing insulin. All secondary efficacy outcomes were similar between groups. </w:t>
      </w:r>
    </w:p>
    <w:p w14:paraId="2A3B9DE0" w14:textId="77777777" w:rsidR="004A33D4" w:rsidRDefault="004A33D4" w:rsidP="004A33D4">
      <w:pPr>
        <w:rPr>
          <w:rFonts w:ascii="Times New Roman" w:hAnsi="Times New Roman" w:cs="Times New Roman"/>
          <w:sz w:val="24"/>
          <w:szCs w:val="24"/>
        </w:rPr>
      </w:pPr>
      <w:r>
        <w:rPr>
          <w:rFonts w:ascii="Times New Roman" w:hAnsi="Times New Roman" w:cs="Times New Roman"/>
          <w:b/>
          <w:sz w:val="24"/>
          <w:szCs w:val="24"/>
        </w:rPr>
        <w:t xml:space="preserve">Conclusions: </w:t>
      </w:r>
      <w:r>
        <w:rPr>
          <w:rFonts w:ascii="Times New Roman" w:hAnsi="Times New Roman" w:cs="Times New Roman"/>
          <w:sz w:val="24"/>
          <w:szCs w:val="24"/>
        </w:rPr>
        <w:t xml:space="preserve"> This study suggests that the early use of oral antiglycemics post-KTx in select patients results in similar outcomes relative to insulin therapy.</w:t>
      </w:r>
    </w:p>
    <w:p w14:paraId="7D5218FA" w14:textId="4C2464A1" w:rsidR="004A33D4" w:rsidRDefault="004A33D4" w:rsidP="0007657F">
      <w:pPr>
        <w:rPr>
          <w:sz w:val="24"/>
          <w:szCs w:val="24"/>
        </w:rPr>
      </w:pPr>
    </w:p>
    <w:p w14:paraId="2B354E8E" w14:textId="37135DCD" w:rsidR="004A33D4" w:rsidRDefault="004A33D4" w:rsidP="0007657F">
      <w:pPr>
        <w:rPr>
          <w:sz w:val="24"/>
          <w:szCs w:val="24"/>
        </w:rPr>
      </w:pPr>
    </w:p>
    <w:p w14:paraId="7D024E7F" w14:textId="5C8A53D9" w:rsidR="004A33D4" w:rsidRDefault="004A33D4" w:rsidP="0007657F">
      <w:pPr>
        <w:rPr>
          <w:sz w:val="24"/>
          <w:szCs w:val="24"/>
        </w:rPr>
      </w:pPr>
    </w:p>
    <w:p w14:paraId="41BF9375" w14:textId="6D88D15C" w:rsidR="004A33D4" w:rsidRDefault="004A33D4" w:rsidP="0007657F">
      <w:pPr>
        <w:rPr>
          <w:sz w:val="24"/>
          <w:szCs w:val="24"/>
        </w:rPr>
      </w:pPr>
    </w:p>
    <w:p w14:paraId="34D498CE" w14:textId="5AF6DD58" w:rsidR="004A33D4" w:rsidRDefault="004A33D4" w:rsidP="0007657F">
      <w:pPr>
        <w:rPr>
          <w:sz w:val="24"/>
          <w:szCs w:val="24"/>
        </w:rPr>
      </w:pPr>
    </w:p>
    <w:p w14:paraId="4B964FE3" w14:textId="608385EA" w:rsidR="004A33D4" w:rsidRDefault="004A33D4" w:rsidP="0007657F">
      <w:pPr>
        <w:rPr>
          <w:sz w:val="24"/>
          <w:szCs w:val="24"/>
        </w:rPr>
      </w:pPr>
    </w:p>
    <w:p w14:paraId="30B542AB" w14:textId="34CB59BC" w:rsidR="004A33D4" w:rsidRDefault="004A33D4" w:rsidP="0007657F">
      <w:pPr>
        <w:rPr>
          <w:sz w:val="24"/>
          <w:szCs w:val="24"/>
        </w:rPr>
      </w:pPr>
    </w:p>
    <w:p w14:paraId="783E634D" w14:textId="0C74714B" w:rsidR="004A33D4" w:rsidRDefault="004A33D4" w:rsidP="0007657F">
      <w:pPr>
        <w:rPr>
          <w:sz w:val="24"/>
          <w:szCs w:val="24"/>
        </w:rPr>
      </w:pPr>
    </w:p>
    <w:p w14:paraId="6A2B0882" w14:textId="0FF26142" w:rsidR="004A33D4" w:rsidRDefault="004A33D4" w:rsidP="0007657F">
      <w:pPr>
        <w:rPr>
          <w:sz w:val="24"/>
          <w:szCs w:val="24"/>
        </w:rPr>
      </w:pPr>
    </w:p>
    <w:p w14:paraId="0F9ED11D" w14:textId="77777777" w:rsidR="004A33D4" w:rsidRPr="004A33D4" w:rsidRDefault="004A33D4" w:rsidP="004A33D4">
      <w:pPr>
        <w:rPr>
          <w:rFonts w:ascii="Times New Roman" w:hAnsi="Times New Roman" w:cs="Times New Roman"/>
        </w:rPr>
      </w:pPr>
      <w:r w:rsidRPr="004A33D4">
        <w:rPr>
          <w:rFonts w:ascii="Times New Roman" w:hAnsi="Times New Roman" w:cs="Times New Roman"/>
        </w:rPr>
        <w:lastRenderedPageBreak/>
        <w:t>IMPACT OF FORMULARY CHANGES TO SELECT OPIOID MEDICATIONS ON OPIOID USE WITHIN A COMMUNITY HEALTH PLAN</w:t>
      </w:r>
    </w:p>
    <w:p w14:paraId="5AC8EF32" w14:textId="77777777" w:rsidR="004A33D4" w:rsidRPr="004A33D4" w:rsidRDefault="004A33D4" w:rsidP="004A33D4">
      <w:pPr>
        <w:rPr>
          <w:rFonts w:ascii="Times New Roman" w:hAnsi="Times New Roman" w:cs="Times New Roman"/>
        </w:rPr>
      </w:pPr>
      <w:r w:rsidRPr="004A33D4">
        <w:rPr>
          <w:rFonts w:ascii="Times New Roman" w:hAnsi="Times New Roman" w:cs="Times New Roman"/>
          <w:u w:val="single"/>
        </w:rPr>
        <w:t>Prout K*</w:t>
      </w:r>
      <w:r w:rsidRPr="004A33D4">
        <w:rPr>
          <w:rFonts w:ascii="Times New Roman" w:hAnsi="Times New Roman" w:cs="Times New Roman"/>
        </w:rPr>
        <w:t xml:space="preserve">, </w:t>
      </w:r>
      <w:r w:rsidRPr="004A33D4">
        <w:rPr>
          <w:rFonts w:ascii="Times New Roman" w:hAnsi="Times New Roman" w:cs="Times New Roman"/>
          <w:u w:val="single"/>
        </w:rPr>
        <w:t>Thomas T</w:t>
      </w:r>
    </w:p>
    <w:p w14:paraId="698D2AB3" w14:textId="77777777" w:rsidR="004A33D4" w:rsidRPr="004A33D4" w:rsidRDefault="004A33D4" w:rsidP="004A33D4">
      <w:pPr>
        <w:rPr>
          <w:rFonts w:ascii="Times New Roman" w:hAnsi="Times New Roman" w:cs="Times New Roman"/>
        </w:rPr>
      </w:pPr>
      <w:r w:rsidRPr="004A33D4">
        <w:rPr>
          <w:rFonts w:ascii="Times New Roman" w:hAnsi="Times New Roman" w:cs="Times New Roman"/>
        </w:rPr>
        <w:t>Capital District Physicians’ Health Plan, 500 Patroon Creek Boulevard, Albany, NY 12206</w:t>
      </w:r>
    </w:p>
    <w:p w14:paraId="67AC178D" w14:textId="77777777" w:rsidR="004A33D4" w:rsidRPr="004A33D4" w:rsidRDefault="004A33D4" w:rsidP="004A33D4">
      <w:pPr>
        <w:rPr>
          <w:rFonts w:ascii="Times New Roman" w:hAnsi="Times New Roman" w:cs="Times New Roman"/>
        </w:rPr>
      </w:pPr>
      <w:r w:rsidRPr="004A33D4">
        <w:rPr>
          <w:rFonts w:ascii="Times New Roman" w:hAnsi="Times New Roman" w:cs="Times New Roman"/>
          <w:b/>
        </w:rPr>
        <w:t>Background:</w:t>
      </w:r>
      <w:r w:rsidRPr="004A33D4">
        <w:rPr>
          <w:rFonts w:ascii="Times New Roman" w:hAnsi="Times New Roman" w:cs="Times New Roman"/>
        </w:rPr>
        <w:t xml:space="preserve"> In response to the opioid epidemic, health plans have instituted various pharmacist-led utilization management strategies promoting responsible use of opioids. Capital District Physicians’ Health Plan implemented new quantity limits (QL) on July 1, 2020 in alignment with the change in the Healthcare Effectiveness Data and Information Set (HEDIS) definition of a high dose from 120 to 90 morphine equivalent dose (MED)/day. A prior authorization requirement was also put in place for four high-potency immediate release (IR) opioid products.</w:t>
      </w:r>
    </w:p>
    <w:p w14:paraId="50106618" w14:textId="77777777" w:rsidR="004A33D4" w:rsidRPr="004A33D4" w:rsidRDefault="004A33D4" w:rsidP="004A33D4">
      <w:pPr>
        <w:rPr>
          <w:rFonts w:ascii="Times New Roman" w:hAnsi="Times New Roman" w:cs="Times New Roman"/>
        </w:rPr>
      </w:pPr>
      <w:r w:rsidRPr="004A33D4">
        <w:rPr>
          <w:rFonts w:ascii="Times New Roman" w:hAnsi="Times New Roman" w:cs="Times New Roman"/>
          <w:b/>
        </w:rPr>
        <w:t>Purpose:</w:t>
      </w:r>
      <w:r w:rsidRPr="004A33D4">
        <w:rPr>
          <w:rFonts w:ascii="Times New Roman" w:hAnsi="Times New Roman" w:cs="Times New Roman"/>
        </w:rPr>
        <w:t xml:space="preserve"> To examine the impact of quantity limit and formulary status modifications on prescribing practices and utilization of opioid medications. The primary outcome was change in number of members receiving &gt;90 MED/day.</w:t>
      </w:r>
    </w:p>
    <w:p w14:paraId="202999D0" w14:textId="77777777" w:rsidR="004A33D4" w:rsidRPr="004A33D4" w:rsidRDefault="004A33D4" w:rsidP="004A33D4">
      <w:pPr>
        <w:rPr>
          <w:rFonts w:ascii="Times New Roman" w:hAnsi="Times New Roman" w:cs="Times New Roman"/>
        </w:rPr>
      </w:pPr>
      <w:r w:rsidRPr="004A33D4">
        <w:rPr>
          <w:rFonts w:ascii="Times New Roman" w:hAnsi="Times New Roman" w:cs="Times New Roman"/>
          <w:b/>
        </w:rPr>
        <w:t>Methods:</w:t>
      </w:r>
      <w:r w:rsidRPr="004A33D4">
        <w:rPr>
          <w:rFonts w:ascii="Times New Roman" w:hAnsi="Times New Roman" w:cs="Times New Roman"/>
        </w:rPr>
        <w:t xml:space="preserve"> This was a retrospective, pre-post review of pharmacy claims</w:t>
      </w:r>
      <w:r w:rsidRPr="004A33D4">
        <w:rPr>
          <w:sz w:val="24"/>
          <w:szCs w:val="24"/>
        </w:rPr>
        <w:t xml:space="preserve"> </w:t>
      </w:r>
      <w:r w:rsidRPr="004A33D4">
        <w:rPr>
          <w:rFonts w:ascii="Times New Roman" w:hAnsi="Times New Roman" w:cs="Times New Roman"/>
        </w:rPr>
        <w:t xml:space="preserve">from January 1, 2020-December 31, 2020. </w:t>
      </w:r>
    </w:p>
    <w:p w14:paraId="76FE7409" w14:textId="77777777" w:rsidR="004A33D4" w:rsidRPr="004A33D4" w:rsidRDefault="004A33D4" w:rsidP="004A33D4">
      <w:pPr>
        <w:rPr>
          <w:rFonts w:ascii="Times New Roman" w:hAnsi="Times New Roman" w:cs="Times New Roman"/>
        </w:rPr>
      </w:pPr>
      <w:r w:rsidRPr="004A33D4">
        <w:rPr>
          <w:rFonts w:ascii="Times New Roman" w:hAnsi="Times New Roman" w:cs="Times New Roman"/>
          <w:b/>
        </w:rPr>
        <w:t>Results:</w:t>
      </w:r>
      <w:r w:rsidRPr="004A33D4">
        <w:rPr>
          <w:rFonts w:ascii="Times New Roman" w:hAnsi="Times New Roman" w:cs="Times New Roman"/>
        </w:rPr>
        <w:t xml:space="preserve"> The number of members utilizing &gt;90 MED/day decreased by 54% (352 vs. 161) overall and by 76% (30 vs. 7) for acute pain, defined as ≤7 day supply. Average MED/day decreased 4% overall (36.7 vs. 35.4). Average MED/day decreased 3% (134.0 vs. 129.4), claims over QL decreased 1% (579 vs. 572), and average MED/day over QL decreased 7% (184.5 vs. 172.4) for IR opioid products. Average MED/day decreased 2% (31.7 vs. 31.1) and claims over QL decreased 65% (336 vs. 117) for opioid-acetaminophen combination products. </w:t>
      </w:r>
    </w:p>
    <w:p w14:paraId="1AB6754F" w14:textId="64BF0AE0" w:rsidR="004A33D4" w:rsidRDefault="004A33D4" w:rsidP="004A33D4">
      <w:pPr>
        <w:rPr>
          <w:rFonts w:ascii="Times New Roman" w:hAnsi="Times New Roman" w:cs="Times New Roman"/>
        </w:rPr>
      </w:pPr>
      <w:r w:rsidRPr="004A33D4">
        <w:rPr>
          <w:rFonts w:ascii="Times New Roman" w:hAnsi="Times New Roman" w:cs="Times New Roman"/>
          <w:b/>
        </w:rPr>
        <w:t>Conclusions:</w:t>
      </w:r>
      <w:r w:rsidRPr="004A33D4">
        <w:rPr>
          <w:rFonts w:ascii="Times New Roman" w:hAnsi="Times New Roman" w:cs="Times New Roman"/>
        </w:rPr>
        <w:t xml:space="preserve"> Implementation of stricter quantity limits and prior authorization requirements produced a decrease in the number of members utilizing &gt;90 MED/day, average MED/day, and use of high doses for acute pain, indicating positive changes in prescribing practices.</w:t>
      </w:r>
    </w:p>
    <w:p w14:paraId="10110F8A" w14:textId="798DE4A4" w:rsidR="004A33D4" w:rsidRDefault="004A33D4" w:rsidP="004A33D4">
      <w:pPr>
        <w:rPr>
          <w:rFonts w:ascii="Times New Roman" w:hAnsi="Times New Roman" w:cs="Times New Roman"/>
        </w:rPr>
      </w:pPr>
    </w:p>
    <w:p w14:paraId="53895AAB" w14:textId="57682BF6" w:rsidR="004A33D4" w:rsidRDefault="004A33D4" w:rsidP="004A33D4">
      <w:pPr>
        <w:rPr>
          <w:rFonts w:ascii="Times New Roman" w:hAnsi="Times New Roman" w:cs="Times New Roman"/>
        </w:rPr>
      </w:pPr>
    </w:p>
    <w:p w14:paraId="526B4E0A" w14:textId="799DAF05" w:rsidR="004A33D4" w:rsidRDefault="004A33D4" w:rsidP="004A33D4">
      <w:pPr>
        <w:rPr>
          <w:rFonts w:ascii="Times New Roman" w:hAnsi="Times New Roman" w:cs="Times New Roman"/>
        </w:rPr>
      </w:pPr>
    </w:p>
    <w:p w14:paraId="31504768" w14:textId="6FD02C88" w:rsidR="004A33D4" w:rsidRDefault="004A33D4" w:rsidP="004A33D4">
      <w:pPr>
        <w:rPr>
          <w:rFonts w:ascii="Times New Roman" w:hAnsi="Times New Roman" w:cs="Times New Roman"/>
        </w:rPr>
      </w:pPr>
    </w:p>
    <w:p w14:paraId="20494FC0" w14:textId="3785336B" w:rsidR="004A33D4" w:rsidRDefault="004A33D4" w:rsidP="004A33D4">
      <w:pPr>
        <w:rPr>
          <w:rFonts w:ascii="Times New Roman" w:hAnsi="Times New Roman" w:cs="Times New Roman"/>
        </w:rPr>
      </w:pPr>
    </w:p>
    <w:p w14:paraId="0C127255" w14:textId="3AB8CDEB" w:rsidR="004A33D4" w:rsidRDefault="004A33D4" w:rsidP="004A33D4">
      <w:pPr>
        <w:rPr>
          <w:rFonts w:ascii="Times New Roman" w:hAnsi="Times New Roman" w:cs="Times New Roman"/>
        </w:rPr>
      </w:pPr>
    </w:p>
    <w:p w14:paraId="5EC07C32" w14:textId="1969837A" w:rsidR="004A33D4" w:rsidRDefault="004A33D4" w:rsidP="004A33D4">
      <w:pPr>
        <w:rPr>
          <w:rFonts w:ascii="Times New Roman" w:hAnsi="Times New Roman" w:cs="Times New Roman"/>
        </w:rPr>
      </w:pPr>
    </w:p>
    <w:p w14:paraId="7FE595B7" w14:textId="25AD88BD" w:rsidR="004A33D4" w:rsidRDefault="004A33D4" w:rsidP="004A33D4">
      <w:pPr>
        <w:rPr>
          <w:rFonts w:ascii="Times New Roman" w:hAnsi="Times New Roman" w:cs="Times New Roman"/>
        </w:rPr>
      </w:pPr>
    </w:p>
    <w:p w14:paraId="0D638CDC" w14:textId="3F1F915D" w:rsidR="004A33D4" w:rsidRDefault="004A33D4" w:rsidP="004A33D4">
      <w:pPr>
        <w:rPr>
          <w:rFonts w:ascii="Times New Roman" w:hAnsi="Times New Roman" w:cs="Times New Roman"/>
        </w:rPr>
      </w:pPr>
    </w:p>
    <w:p w14:paraId="39187487" w14:textId="7A3B2D6A" w:rsidR="004A33D4" w:rsidRDefault="004A33D4" w:rsidP="004A33D4">
      <w:pPr>
        <w:rPr>
          <w:rFonts w:ascii="Times New Roman" w:hAnsi="Times New Roman" w:cs="Times New Roman"/>
        </w:rPr>
      </w:pPr>
    </w:p>
    <w:p w14:paraId="4B4A3B8F" w14:textId="79DBC71F" w:rsidR="004A33D4" w:rsidRDefault="004A33D4" w:rsidP="004A33D4">
      <w:pPr>
        <w:rPr>
          <w:rFonts w:ascii="Times New Roman" w:hAnsi="Times New Roman" w:cs="Times New Roman"/>
        </w:rPr>
      </w:pPr>
    </w:p>
    <w:p w14:paraId="7F72D8DC" w14:textId="73F65FA3" w:rsidR="004A33D4" w:rsidRDefault="004A33D4" w:rsidP="004A33D4">
      <w:pPr>
        <w:rPr>
          <w:rFonts w:ascii="Times New Roman" w:hAnsi="Times New Roman" w:cs="Times New Roman"/>
        </w:rPr>
      </w:pPr>
    </w:p>
    <w:p w14:paraId="32C39CBD" w14:textId="77777777" w:rsidR="003D584E" w:rsidRPr="003D584E" w:rsidRDefault="003D584E" w:rsidP="003D584E">
      <w:pPr>
        <w:rPr>
          <w:rFonts w:ascii="Times New Roman" w:hAnsi="Times New Roman" w:cs="Times New Roman"/>
          <w:szCs w:val="24"/>
        </w:rPr>
      </w:pPr>
      <w:r w:rsidRPr="003D584E">
        <w:rPr>
          <w:rFonts w:ascii="Times New Roman" w:hAnsi="Times New Roman" w:cs="Times New Roman"/>
          <w:szCs w:val="24"/>
        </w:rPr>
        <w:lastRenderedPageBreak/>
        <w:t>IMPACT OF A PHARMACIST-DRIVEN COLLABORATIVE DRUG THERAPY MANAGEMENT AGREEMENT ON PARTICIPATION RATES IN A DISCHARGE PRESCRIPTION PROGRAM</w:t>
      </w:r>
    </w:p>
    <w:p w14:paraId="1560D07C" w14:textId="77777777" w:rsidR="003D584E" w:rsidRPr="003D584E" w:rsidRDefault="003D584E" w:rsidP="003D584E">
      <w:pPr>
        <w:rPr>
          <w:rFonts w:ascii="Times New Roman" w:hAnsi="Times New Roman" w:cs="Times New Roman"/>
          <w:szCs w:val="24"/>
        </w:rPr>
      </w:pPr>
    </w:p>
    <w:p w14:paraId="3E2AE603" w14:textId="77777777" w:rsidR="003D584E" w:rsidRPr="003D584E" w:rsidRDefault="003D584E" w:rsidP="003D584E">
      <w:pPr>
        <w:rPr>
          <w:rFonts w:ascii="Times New Roman" w:hAnsi="Times New Roman" w:cs="Times New Roman"/>
          <w:szCs w:val="24"/>
        </w:rPr>
      </w:pPr>
      <w:r w:rsidRPr="003D584E">
        <w:rPr>
          <w:rFonts w:ascii="Times New Roman" w:hAnsi="Times New Roman" w:cs="Times New Roman"/>
          <w:szCs w:val="24"/>
        </w:rPr>
        <w:t>Rafferty J*, Mills K, Morano M, Pogodzinski J, Clark C</w:t>
      </w:r>
    </w:p>
    <w:p w14:paraId="0EC6C714" w14:textId="77777777" w:rsidR="003D584E" w:rsidRPr="003D584E" w:rsidRDefault="003D584E" w:rsidP="003D584E">
      <w:pPr>
        <w:rPr>
          <w:rFonts w:ascii="Times New Roman" w:hAnsi="Times New Roman" w:cs="Times New Roman"/>
          <w:szCs w:val="24"/>
        </w:rPr>
      </w:pPr>
    </w:p>
    <w:p w14:paraId="7ACFF067" w14:textId="77777777" w:rsidR="003D584E" w:rsidRPr="003D584E" w:rsidRDefault="003D584E" w:rsidP="003D584E">
      <w:pPr>
        <w:rPr>
          <w:rFonts w:ascii="Times New Roman" w:hAnsi="Times New Roman" w:cs="Times New Roman"/>
          <w:szCs w:val="24"/>
        </w:rPr>
      </w:pPr>
      <w:r w:rsidRPr="003D584E">
        <w:rPr>
          <w:rFonts w:ascii="Times New Roman" w:hAnsi="Times New Roman" w:cs="Times New Roman"/>
          <w:szCs w:val="24"/>
        </w:rPr>
        <w:t>Buffalo General Medical Center, 100 High Street, Buffalo, NY 14203</w:t>
      </w:r>
    </w:p>
    <w:p w14:paraId="16468AB8" w14:textId="77777777" w:rsidR="003D584E" w:rsidRPr="003D584E" w:rsidRDefault="003D584E" w:rsidP="003D584E">
      <w:pPr>
        <w:rPr>
          <w:rFonts w:ascii="Times New Roman" w:hAnsi="Times New Roman" w:cs="Times New Roman"/>
          <w:szCs w:val="24"/>
        </w:rPr>
      </w:pPr>
    </w:p>
    <w:p w14:paraId="2B446C84" w14:textId="77777777" w:rsidR="003D584E" w:rsidRPr="003D584E" w:rsidRDefault="003D584E" w:rsidP="003D584E">
      <w:pPr>
        <w:rPr>
          <w:rFonts w:ascii="Times New Roman" w:hAnsi="Times New Roman" w:cs="Times New Roman"/>
          <w:szCs w:val="24"/>
        </w:rPr>
      </w:pPr>
    </w:p>
    <w:p w14:paraId="7B03DC37" w14:textId="77777777" w:rsidR="003D584E" w:rsidRPr="003D584E" w:rsidRDefault="003D584E" w:rsidP="003D584E">
      <w:pPr>
        <w:rPr>
          <w:rFonts w:ascii="Times New Roman" w:hAnsi="Times New Roman" w:cs="Times New Roman"/>
          <w:szCs w:val="24"/>
        </w:rPr>
      </w:pPr>
      <w:r w:rsidRPr="003D584E">
        <w:rPr>
          <w:rFonts w:ascii="Times New Roman" w:hAnsi="Times New Roman" w:cs="Times New Roman"/>
          <w:b/>
          <w:szCs w:val="24"/>
        </w:rPr>
        <w:t>Background</w:t>
      </w:r>
      <w:r w:rsidRPr="003D584E">
        <w:rPr>
          <w:rFonts w:ascii="Times New Roman" w:hAnsi="Times New Roman" w:cs="Times New Roman"/>
          <w:szCs w:val="24"/>
        </w:rPr>
        <w:t xml:space="preserve">: Discharge prescription programs have been shown to decrease hospital readmissions in cardiology patients; however, there is little information on successful ways to increase participation. One observed reason patients decline to participate in our program is loyalty to their regular pharmacy. A collaborative drug therapy management (CDTM) agreement within the cardiology services at this institution was implemented in 2019: for discharge prescriptions with refills, a pharmacist with a CDTM agreement forwarded refills to the patient’s preferred pharmacy. </w:t>
      </w:r>
    </w:p>
    <w:p w14:paraId="5E242922" w14:textId="77777777" w:rsidR="003D584E" w:rsidRPr="003D584E" w:rsidRDefault="003D584E" w:rsidP="003D584E">
      <w:pPr>
        <w:rPr>
          <w:rFonts w:ascii="Times New Roman" w:hAnsi="Times New Roman" w:cs="Times New Roman"/>
          <w:szCs w:val="24"/>
        </w:rPr>
      </w:pPr>
    </w:p>
    <w:p w14:paraId="2C4AE0A2" w14:textId="77777777" w:rsidR="003D584E" w:rsidRPr="003D584E" w:rsidRDefault="003D584E" w:rsidP="003D584E">
      <w:pPr>
        <w:rPr>
          <w:rFonts w:ascii="Times New Roman" w:hAnsi="Times New Roman" w:cs="Times New Roman"/>
          <w:szCs w:val="24"/>
        </w:rPr>
      </w:pPr>
      <w:r w:rsidRPr="003D584E">
        <w:rPr>
          <w:rFonts w:ascii="Times New Roman" w:hAnsi="Times New Roman" w:cs="Times New Roman"/>
          <w:b/>
          <w:szCs w:val="24"/>
        </w:rPr>
        <w:t>Objectives</w:t>
      </w:r>
      <w:r w:rsidRPr="003D584E">
        <w:rPr>
          <w:rFonts w:ascii="Times New Roman" w:hAnsi="Times New Roman" w:cs="Times New Roman"/>
          <w:szCs w:val="24"/>
        </w:rPr>
        <w:t>: The primary objective was to assess if the CDTM component increased the proportion of patients participating in the discharge prescription program. The secondary objective was to assess if the program decreased 30-day all-cause readmissions.</w:t>
      </w:r>
    </w:p>
    <w:p w14:paraId="4F98742D" w14:textId="77777777" w:rsidR="003D584E" w:rsidRPr="003D584E" w:rsidRDefault="003D584E" w:rsidP="003D584E">
      <w:pPr>
        <w:rPr>
          <w:rFonts w:ascii="Times New Roman" w:hAnsi="Times New Roman" w:cs="Times New Roman"/>
          <w:szCs w:val="24"/>
        </w:rPr>
      </w:pPr>
    </w:p>
    <w:p w14:paraId="26ADCD92" w14:textId="77777777" w:rsidR="003D584E" w:rsidRPr="003D584E" w:rsidRDefault="003D584E" w:rsidP="003D584E">
      <w:pPr>
        <w:rPr>
          <w:rFonts w:ascii="Times New Roman" w:hAnsi="Times New Roman" w:cs="Times New Roman"/>
          <w:szCs w:val="24"/>
        </w:rPr>
      </w:pPr>
      <w:r w:rsidRPr="003D584E">
        <w:rPr>
          <w:rFonts w:ascii="Times New Roman" w:hAnsi="Times New Roman" w:cs="Times New Roman"/>
          <w:b/>
          <w:szCs w:val="24"/>
        </w:rPr>
        <w:t>Methods</w:t>
      </w:r>
      <w:r w:rsidRPr="003D584E">
        <w:rPr>
          <w:rFonts w:ascii="Times New Roman" w:hAnsi="Times New Roman" w:cs="Times New Roman"/>
          <w:szCs w:val="24"/>
        </w:rPr>
        <w:t xml:space="preserve">: This was a single-center, quasi-experimental pre-post intervention study to assess the newly implemented CDTM component in cardiology patients discharged to home. The historical control group included patients enrolled in the program in the year prior to implementation. Chi-squared tests were used to assess primary and secondary outcomes and a p-value of &lt;0.05 was considered significant. Approval was granted by the Institutional Review Board at the University at Buffalo. </w:t>
      </w:r>
    </w:p>
    <w:p w14:paraId="74B4311A" w14:textId="77777777" w:rsidR="003D584E" w:rsidRPr="003D584E" w:rsidRDefault="003D584E" w:rsidP="003D584E">
      <w:pPr>
        <w:rPr>
          <w:rFonts w:ascii="Times New Roman" w:hAnsi="Times New Roman" w:cs="Times New Roman"/>
          <w:szCs w:val="24"/>
        </w:rPr>
      </w:pPr>
    </w:p>
    <w:p w14:paraId="3FCCB532" w14:textId="77777777" w:rsidR="003D584E" w:rsidRPr="003D584E" w:rsidRDefault="003D584E" w:rsidP="003D584E">
      <w:pPr>
        <w:rPr>
          <w:rFonts w:ascii="Times New Roman" w:hAnsi="Times New Roman" w:cs="Times New Roman"/>
          <w:szCs w:val="24"/>
        </w:rPr>
      </w:pPr>
      <w:r w:rsidRPr="003D584E">
        <w:rPr>
          <w:rFonts w:ascii="Times New Roman" w:hAnsi="Times New Roman" w:cs="Times New Roman"/>
          <w:b/>
          <w:szCs w:val="24"/>
        </w:rPr>
        <w:t>Results</w:t>
      </w:r>
      <w:r w:rsidRPr="003D584E">
        <w:rPr>
          <w:rFonts w:ascii="Times New Roman" w:hAnsi="Times New Roman" w:cs="Times New Roman"/>
          <w:szCs w:val="24"/>
        </w:rPr>
        <w:t xml:space="preserve">: There were 2200 patients in the intervention group and 1704 patients in the control group. There was a statistically significant increase in the proportion of patients participating in the discharge prescription program (77.8% vs. 68.7%, p&lt;0.0001).  There was no significant difference in 30-day all-cause readmissions in the intervention group (14.8% vs. 14.3%, p=0.67). </w:t>
      </w:r>
    </w:p>
    <w:p w14:paraId="2B5017A8" w14:textId="77777777" w:rsidR="003D584E" w:rsidRPr="003D584E" w:rsidRDefault="003D584E" w:rsidP="003D584E">
      <w:pPr>
        <w:rPr>
          <w:rFonts w:ascii="Times New Roman" w:hAnsi="Times New Roman" w:cs="Times New Roman"/>
          <w:szCs w:val="24"/>
        </w:rPr>
      </w:pPr>
    </w:p>
    <w:p w14:paraId="3AA84F5D" w14:textId="77777777" w:rsidR="003D584E" w:rsidRPr="003D584E" w:rsidRDefault="003D584E" w:rsidP="003D584E">
      <w:pPr>
        <w:rPr>
          <w:rFonts w:ascii="Times New Roman" w:hAnsi="Times New Roman" w:cs="Times New Roman"/>
          <w:szCs w:val="24"/>
        </w:rPr>
      </w:pPr>
      <w:r w:rsidRPr="003D584E">
        <w:rPr>
          <w:rFonts w:ascii="Times New Roman" w:hAnsi="Times New Roman" w:cs="Times New Roman"/>
          <w:b/>
          <w:szCs w:val="24"/>
        </w:rPr>
        <w:t>Conclusion</w:t>
      </w:r>
      <w:r w:rsidRPr="003D584E">
        <w:rPr>
          <w:rFonts w:ascii="Times New Roman" w:hAnsi="Times New Roman" w:cs="Times New Roman"/>
          <w:szCs w:val="24"/>
        </w:rPr>
        <w:t xml:space="preserve">: The implementation of a pharmacist-driven CDTM agreement was associated with increased participation in the discharge prescription program. </w:t>
      </w:r>
    </w:p>
    <w:p w14:paraId="4DBFE9D3" w14:textId="65F979A0" w:rsidR="004A33D4" w:rsidRDefault="004A33D4" w:rsidP="004A33D4">
      <w:pPr>
        <w:rPr>
          <w:rFonts w:ascii="Times New Roman" w:hAnsi="Times New Roman" w:cs="Times New Roman"/>
        </w:rPr>
      </w:pPr>
    </w:p>
    <w:p w14:paraId="2EBBDCF9" w14:textId="7818FADF" w:rsidR="003D584E" w:rsidRDefault="003D584E" w:rsidP="004A33D4">
      <w:pPr>
        <w:rPr>
          <w:rFonts w:ascii="Times New Roman" w:hAnsi="Times New Roman" w:cs="Times New Roman"/>
        </w:rPr>
      </w:pPr>
    </w:p>
    <w:p w14:paraId="715D229D" w14:textId="1D05C691" w:rsidR="003D584E" w:rsidRDefault="003D584E" w:rsidP="004A33D4">
      <w:pPr>
        <w:rPr>
          <w:rFonts w:ascii="Times New Roman" w:hAnsi="Times New Roman" w:cs="Times New Roman"/>
        </w:rPr>
      </w:pPr>
    </w:p>
    <w:p w14:paraId="7BCFDF5D" w14:textId="70B8EC64" w:rsidR="003D584E" w:rsidRDefault="003D584E" w:rsidP="004A33D4">
      <w:pPr>
        <w:rPr>
          <w:rFonts w:ascii="Times New Roman" w:hAnsi="Times New Roman" w:cs="Times New Roman"/>
        </w:rPr>
      </w:pPr>
    </w:p>
    <w:p w14:paraId="768125DD" w14:textId="77777777" w:rsidR="003D584E" w:rsidRDefault="003D584E" w:rsidP="003D584E">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EVALUATION OF THE PHARMACIST ROLE IN INPATIENT HYPERGLYCEMIA MANAGEMENT</w:t>
      </w:r>
    </w:p>
    <w:p w14:paraId="53968EF6" w14:textId="77777777" w:rsidR="003D584E" w:rsidRDefault="003D584E" w:rsidP="003D584E">
      <w:pPr>
        <w:rPr>
          <w:rFonts w:ascii="Times New Roman" w:eastAsia="Times New Roman" w:hAnsi="Times New Roman" w:cs="Times New Roman"/>
        </w:rPr>
      </w:pPr>
    </w:p>
    <w:p w14:paraId="51F760FD" w14:textId="77777777" w:rsidR="003D584E" w:rsidRDefault="003D584E" w:rsidP="003D584E">
      <w:pP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Rafi E*, Morales J, Thiyagarajan V</w:t>
      </w:r>
    </w:p>
    <w:p w14:paraId="1A5099C9" w14:textId="77777777" w:rsidR="003D584E" w:rsidRDefault="003D584E" w:rsidP="003D584E">
      <w:pPr>
        <w:rPr>
          <w:rFonts w:ascii="Times New Roman" w:eastAsia="Times New Roman" w:hAnsi="Times New Roman" w:cs="Times New Roman"/>
        </w:rPr>
      </w:pPr>
    </w:p>
    <w:p w14:paraId="21287FA0" w14:textId="77777777" w:rsidR="003D584E" w:rsidRDefault="003D584E" w:rsidP="003D584E">
      <w:pPr>
        <w:rPr>
          <w:rFonts w:ascii="Times New Roman" w:eastAsia="Times New Roman" w:hAnsi="Times New Roman" w:cs="Times New Roman"/>
        </w:rPr>
      </w:pPr>
      <w:r>
        <w:rPr>
          <w:rFonts w:ascii="Times New Roman" w:eastAsia="Times New Roman" w:hAnsi="Times New Roman" w:cs="Times New Roman"/>
          <w:color w:val="000000"/>
        </w:rPr>
        <w:t>South Shore University Hospital, 301 E Main Street, Bay Shore, NY 11706</w:t>
      </w:r>
    </w:p>
    <w:p w14:paraId="29B4DB2B" w14:textId="77777777" w:rsidR="003D584E" w:rsidRDefault="003D584E" w:rsidP="003D584E">
      <w:pPr>
        <w:rPr>
          <w:rFonts w:ascii="Times New Roman" w:eastAsia="Times New Roman" w:hAnsi="Times New Roman" w:cs="Times New Roman"/>
          <w:b/>
          <w:bCs/>
          <w:color w:val="000000"/>
        </w:rPr>
      </w:pPr>
    </w:p>
    <w:p w14:paraId="1A48C363" w14:textId="77777777" w:rsidR="003D584E" w:rsidRDefault="003D584E" w:rsidP="003D584E">
      <w:pPr>
        <w:rPr>
          <w:rFonts w:ascii="Times New Roman" w:hAnsi="Times New Roman" w:cs="Times New Roman"/>
        </w:rPr>
      </w:pPr>
      <w:r>
        <w:rPr>
          <w:rFonts w:ascii="Times New Roman" w:eastAsia="Times New Roman" w:hAnsi="Times New Roman" w:cs="Times New Roman"/>
          <w:b/>
          <w:bCs/>
          <w:color w:val="000000" w:themeColor="text1"/>
        </w:rPr>
        <w:t>Background:</w:t>
      </w:r>
      <w:r>
        <w:rPr>
          <w:rFonts w:ascii="Times New Roman" w:eastAsia="Times New Roman" w:hAnsi="Times New Roman" w:cs="Times New Roman"/>
          <w:color w:val="000000" w:themeColor="text1"/>
        </w:rPr>
        <w:t xml:space="preserve"> </w:t>
      </w:r>
      <w:r>
        <w:rPr>
          <w:rFonts w:ascii="Times New Roman" w:hAnsi="Times New Roman" w:cs="Times New Roman"/>
        </w:rPr>
        <w:t>Uncontrolled hyperglycemia in the inpatient setting leads to increased mortality, infections, and hospital length of stay. To improve the management of hyperglycemia in hospitalized patients, South Shore University Hospital implemented a quality improvement initiative through a multidisciplinary diabetes taskforce. As part of this new patient care process, a pharmacist reviewed patients who were hyperglycemic within 48 hours of hospital admission to identify potential risk factors associated with hyperglycemia and to provide recommendations to improve blood glucose levels. Through this study, we aim to assess the impact of pharmacist interventions on hyperglycemia management.</w:t>
      </w:r>
    </w:p>
    <w:p w14:paraId="747C5A5E" w14:textId="77777777" w:rsidR="003D584E" w:rsidRDefault="003D584E" w:rsidP="003D584E">
      <w:pPr>
        <w:rPr>
          <w:rFonts w:ascii="Times New Roman" w:hAnsi="Times New Roman" w:cs="Times New Roman"/>
        </w:rPr>
      </w:pPr>
    </w:p>
    <w:p w14:paraId="61A3CB32" w14:textId="77777777" w:rsidR="003D584E" w:rsidRDefault="003D584E" w:rsidP="003D584E">
      <w:pPr>
        <w:rPr>
          <w:rFonts w:ascii="Times New Roman" w:hAnsi="Times New Roman" w:cs="Times New Roman"/>
        </w:rPr>
      </w:pPr>
      <w:r>
        <w:rPr>
          <w:rFonts w:ascii="Times New Roman" w:eastAsia="Times New Roman" w:hAnsi="Times New Roman" w:cs="Times New Roman"/>
          <w:b/>
        </w:rPr>
        <w:t xml:space="preserve">Objectives: </w:t>
      </w:r>
      <w:r>
        <w:rPr>
          <w:rFonts w:ascii="Times New Roman" w:eastAsia="Times New Roman" w:hAnsi="Times New Roman" w:cs="Times New Roman"/>
        </w:rPr>
        <w:t xml:space="preserve">The primary outcomes of this study were to compare the monthly institutional hyperglycemia </w:t>
      </w:r>
      <w:r>
        <w:rPr>
          <w:rFonts w:ascii="Times New Roman" w:eastAsia="Times New Roman" w:hAnsi="Times New Roman" w:cs="Times New Roman"/>
          <w:color w:val="000000" w:themeColor="text1"/>
        </w:rPr>
        <w:t>rates during the three-month investigational period to the three months prior, as well as 2019 hyperglycemia rates. The secondary outcomes were to identify risk factors associated with hyperglycemia, and to assess the acceptance rate of interventions by providers.</w:t>
      </w:r>
    </w:p>
    <w:p w14:paraId="63B73187" w14:textId="77777777" w:rsidR="003D584E" w:rsidRDefault="003D584E" w:rsidP="003D584E">
      <w:pPr>
        <w:rPr>
          <w:rFonts w:ascii="Times New Roman" w:eastAsia="Times New Roman" w:hAnsi="Times New Roman" w:cs="Times New Roman"/>
          <w:b/>
        </w:rPr>
      </w:pPr>
    </w:p>
    <w:p w14:paraId="05F3E542" w14:textId="77777777" w:rsidR="003D584E" w:rsidRDefault="003D584E" w:rsidP="003D584E">
      <w:pPr>
        <w:rPr>
          <w:rFonts w:ascii="Times New Roman" w:eastAsia="Times New Roman" w:hAnsi="Times New Roman" w:cs="Times New Roman"/>
          <w:color w:val="000000"/>
        </w:rPr>
      </w:pPr>
      <w:r>
        <w:rPr>
          <w:rFonts w:ascii="Times New Roman" w:eastAsia="Times New Roman" w:hAnsi="Times New Roman" w:cs="Times New Roman"/>
          <w:b/>
          <w:bCs/>
        </w:rPr>
        <w:t>Methods:</w:t>
      </w:r>
      <w:r>
        <w:rPr>
          <w:rFonts w:ascii="Times New Roman" w:eastAsia="Times New Roman" w:hAnsi="Times New Roman" w:cs="Times New Roman"/>
        </w:rPr>
        <w:t xml:space="preserve"> This study was an IRB exempt single center prospective study including patients admitted between October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to December 31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2020. Hyperglycemic patients were </w:t>
      </w:r>
      <w:r>
        <w:rPr>
          <w:rFonts w:ascii="Times New Roman" w:hAnsi="Times New Roman" w:cs="Times New Roman"/>
        </w:rPr>
        <w:t xml:space="preserve">identified through a health system approved reporting tool. </w:t>
      </w:r>
      <w:r>
        <w:rPr>
          <w:rFonts w:ascii="Times New Roman" w:eastAsia="Times New Roman" w:hAnsi="Times New Roman" w:cs="Times New Roman"/>
        </w:rPr>
        <w:t>Monthly hyperglycemia rates were generated from a health system implemented diabetes dashboard</w:t>
      </w:r>
      <w:r>
        <w:rPr>
          <w:rFonts w:ascii="Times New Roman" w:eastAsia="Times New Roman" w:hAnsi="Times New Roman" w:cs="Times New Roman"/>
          <w:color w:val="000000" w:themeColor="text1"/>
        </w:rPr>
        <w:t xml:space="preserve">. </w:t>
      </w:r>
      <w:r>
        <w:rPr>
          <w:rFonts w:ascii="Times New Roman" w:hAnsi="Times New Roman" w:cs="Times New Roman"/>
        </w:rPr>
        <w:t xml:space="preserve">To identify risk factors for hyperglycemia, non-hyperglycemic patients were retrospectively collected as a control cohort. </w:t>
      </w:r>
      <w:r>
        <w:rPr>
          <w:rFonts w:ascii="Times New Roman" w:eastAsia="Times New Roman" w:hAnsi="Times New Roman" w:cs="Times New Roman"/>
          <w:color w:val="000000" w:themeColor="text1"/>
        </w:rPr>
        <w:t xml:space="preserve"> Patients were included if they had a diagnosis of type 2 diabetes, point of care blood glucose readings, and age greater than 18 years. Patients were excluded if they were admitted to an intensive care unit. </w:t>
      </w:r>
    </w:p>
    <w:p w14:paraId="78AEC6F3" w14:textId="77777777" w:rsidR="003D584E" w:rsidRDefault="003D584E" w:rsidP="003D584E">
      <w:pPr>
        <w:rPr>
          <w:rFonts w:ascii="Times New Roman" w:eastAsia="Times New Roman" w:hAnsi="Times New Roman" w:cs="Times New Roman"/>
          <w:color w:val="000000"/>
        </w:rPr>
      </w:pPr>
    </w:p>
    <w:p w14:paraId="64135E66" w14:textId="77777777" w:rsidR="003D584E" w:rsidRDefault="003D584E" w:rsidP="003D584E">
      <w:pPr>
        <w:rPr>
          <w:rFonts w:ascii="Times New Roman" w:eastAsia="Times New Roman" w:hAnsi="Times New Roman" w:cs="Times New Roman"/>
        </w:rPr>
      </w:pPr>
      <w:r>
        <w:rPr>
          <w:rFonts w:ascii="Times New Roman" w:eastAsia="Times New Roman" w:hAnsi="Times New Roman" w:cs="Times New Roman"/>
          <w:b/>
          <w:bCs/>
          <w:color w:val="000000"/>
        </w:rPr>
        <w:t>Results:</w:t>
      </w:r>
      <w:r>
        <w:rPr>
          <w:rFonts w:ascii="Times New Roman" w:eastAsia="Times New Roman" w:hAnsi="Times New Roman" w:cs="Times New Roman"/>
          <w:color w:val="000000"/>
        </w:rPr>
        <w:t xml:space="preserve"> Pending</w:t>
      </w:r>
    </w:p>
    <w:p w14:paraId="56194E4A" w14:textId="77777777" w:rsidR="003D584E" w:rsidRDefault="003D584E" w:rsidP="003D584E">
      <w:pPr>
        <w:rPr>
          <w:rFonts w:ascii="Times New Roman" w:eastAsia="Times New Roman" w:hAnsi="Times New Roman" w:cs="Times New Roman"/>
          <w:color w:val="000000"/>
        </w:rPr>
      </w:pPr>
      <w:r>
        <w:rPr>
          <w:rFonts w:ascii="Times New Roman" w:eastAsia="Times New Roman" w:hAnsi="Times New Roman" w:cs="Times New Roman"/>
        </w:rPr>
        <w:br/>
      </w:r>
      <w:r>
        <w:rPr>
          <w:rFonts w:ascii="Times New Roman" w:eastAsia="Times New Roman" w:hAnsi="Times New Roman" w:cs="Times New Roman"/>
          <w:b/>
          <w:bCs/>
          <w:color w:val="000000"/>
        </w:rPr>
        <w:t>Conclusion:</w:t>
      </w:r>
      <w:r>
        <w:rPr>
          <w:rFonts w:ascii="Times New Roman" w:eastAsia="Times New Roman" w:hAnsi="Times New Roman" w:cs="Times New Roman"/>
          <w:color w:val="000000"/>
        </w:rPr>
        <w:t xml:space="preserve"> Pending</w:t>
      </w:r>
    </w:p>
    <w:p w14:paraId="23DD418E" w14:textId="77777777" w:rsidR="003D584E" w:rsidRDefault="003D584E" w:rsidP="003D584E">
      <w:pPr>
        <w:rPr>
          <w:rFonts w:ascii="Times New Roman" w:eastAsia="Times New Roman" w:hAnsi="Times New Roman" w:cs="Times New Roman"/>
        </w:rPr>
      </w:pPr>
    </w:p>
    <w:p w14:paraId="0151B10B" w14:textId="7A28A1CD" w:rsidR="003D584E" w:rsidRDefault="003D584E" w:rsidP="004A33D4">
      <w:pPr>
        <w:rPr>
          <w:rFonts w:ascii="Times New Roman" w:hAnsi="Times New Roman" w:cs="Times New Roman"/>
        </w:rPr>
      </w:pPr>
    </w:p>
    <w:p w14:paraId="03D41EAD" w14:textId="7BA98738" w:rsidR="003D584E" w:rsidRDefault="003D584E" w:rsidP="004A33D4">
      <w:pPr>
        <w:rPr>
          <w:rFonts w:ascii="Times New Roman" w:hAnsi="Times New Roman" w:cs="Times New Roman"/>
        </w:rPr>
      </w:pPr>
    </w:p>
    <w:p w14:paraId="31B56E46" w14:textId="185441E2" w:rsidR="003D584E" w:rsidRDefault="003D584E" w:rsidP="004A33D4">
      <w:pPr>
        <w:rPr>
          <w:rFonts w:ascii="Times New Roman" w:hAnsi="Times New Roman" w:cs="Times New Roman"/>
        </w:rPr>
      </w:pPr>
    </w:p>
    <w:p w14:paraId="479AD9FF" w14:textId="1AA9DCB6" w:rsidR="003D584E" w:rsidRDefault="003D584E" w:rsidP="004A33D4">
      <w:pPr>
        <w:rPr>
          <w:rFonts w:ascii="Times New Roman" w:hAnsi="Times New Roman" w:cs="Times New Roman"/>
        </w:rPr>
      </w:pPr>
    </w:p>
    <w:p w14:paraId="72482603" w14:textId="77777777" w:rsidR="003D584E" w:rsidRDefault="003D584E" w:rsidP="003D584E">
      <w:pPr>
        <w:rPr>
          <w:rFonts w:ascii="Times New Roman" w:hAnsi="Times New Roman" w:cs="Times New Roman"/>
        </w:rPr>
      </w:pPr>
      <w:r>
        <w:rPr>
          <w:rFonts w:ascii="Times New Roman" w:hAnsi="Times New Roman" w:cs="Times New Roman"/>
        </w:rPr>
        <w:lastRenderedPageBreak/>
        <w:t>TWICE VS THRICE DAILY HEPARIN FOR VENOUS THROMBOEMBOLISM PROPHYLAXIS IN ACUTELY ILL HOSPITALIZED MEDICAL PATIENTS</w:t>
      </w:r>
    </w:p>
    <w:p w14:paraId="54E74663" w14:textId="77777777" w:rsidR="003D584E" w:rsidRDefault="003D584E" w:rsidP="003D584E">
      <w:pPr>
        <w:rPr>
          <w:rFonts w:ascii="Times New Roman" w:hAnsi="Times New Roman" w:cs="Times New Roman"/>
          <w:u w:val="single"/>
        </w:rPr>
      </w:pPr>
      <w:r>
        <w:rPr>
          <w:rFonts w:ascii="Times New Roman" w:hAnsi="Times New Roman" w:cs="Times New Roman"/>
          <w:u w:val="single"/>
        </w:rPr>
        <w:t>Rashid E*, Studlack E, Weiss N, Ninova N</w:t>
      </w:r>
    </w:p>
    <w:p w14:paraId="47842333" w14:textId="77777777" w:rsidR="003D584E" w:rsidRDefault="003D584E" w:rsidP="003D584E">
      <w:pPr>
        <w:rPr>
          <w:rFonts w:ascii="Times New Roman" w:hAnsi="Times New Roman" w:cs="Times New Roman"/>
        </w:rPr>
      </w:pPr>
      <w:r>
        <w:rPr>
          <w:rFonts w:ascii="Times New Roman" w:hAnsi="Times New Roman" w:cs="Times New Roman"/>
        </w:rPr>
        <w:t>Mercy Hospital of Buffalo, 565 Abbott Rd, Buffalo, Ny 14220</w:t>
      </w:r>
    </w:p>
    <w:p w14:paraId="33473033" w14:textId="77777777" w:rsidR="003D584E" w:rsidRDefault="003D584E" w:rsidP="003D584E">
      <w:pPr>
        <w:rPr>
          <w:rFonts w:ascii="Times New Roman" w:hAnsi="Times New Roman" w:cs="Times New Roman"/>
        </w:rPr>
      </w:pPr>
    </w:p>
    <w:p w14:paraId="4D10D1BE" w14:textId="77777777" w:rsidR="003D584E" w:rsidRDefault="003D584E" w:rsidP="003D584E">
      <w:pPr>
        <w:rPr>
          <w:rFonts w:ascii="Times New Roman" w:hAnsi="Times New Roman" w:cs="Times New Roman"/>
        </w:rPr>
      </w:pPr>
      <w:r>
        <w:rPr>
          <w:rFonts w:ascii="Times New Roman" w:hAnsi="Times New Roman" w:cs="Times New Roman"/>
          <w:b/>
          <w:bCs/>
        </w:rPr>
        <w:t xml:space="preserve">Background: </w:t>
      </w:r>
      <w:r>
        <w:rPr>
          <w:rFonts w:ascii="Times New Roman" w:hAnsi="Times New Roman" w:cs="Times New Roman"/>
        </w:rPr>
        <w:t>Unfractionated heparin remains one of the preferred options for venous thromboembolism (VTE) prophylaxis due to benign side effect profile and low cost. There is no definite guidance on frequency of dosing. Purpose of this study was to access impact of twice (BID) versus thrice (TID) dosing in hospitalized patients in Mercy Hospital of Buffalo.</w:t>
      </w:r>
    </w:p>
    <w:p w14:paraId="194B4F3A" w14:textId="77777777" w:rsidR="003D584E" w:rsidRDefault="003D584E" w:rsidP="003D584E">
      <w:pPr>
        <w:rPr>
          <w:rFonts w:ascii="Times New Roman" w:hAnsi="Times New Roman" w:cs="Times New Roman"/>
        </w:rPr>
      </w:pPr>
      <w:r>
        <w:rPr>
          <w:rFonts w:ascii="Times New Roman" w:hAnsi="Times New Roman" w:cs="Times New Roman"/>
          <w:b/>
          <w:bCs/>
        </w:rPr>
        <w:t xml:space="preserve">Objectives: </w:t>
      </w:r>
      <w:r>
        <w:rPr>
          <w:rFonts w:ascii="Times New Roman" w:hAnsi="Times New Roman" w:cs="Times New Roman"/>
        </w:rPr>
        <w:t>Primary outcome was incidence of hospital acquired VTE. Secondary outcomes include rates of bleeding and thrombocytopenia. Patients were excluded if they had VTE or bleeding within 90 days, had history of malignancy or currently pregnant.</w:t>
      </w:r>
    </w:p>
    <w:p w14:paraId="792B1871" w14:textId="77777777" w:rsidR="003D584E" w:rsidRDefault="003D584E" w:rsidP="003D584E">
      <w:pPr>
        <w:rPr>
          <w:rFonts w:ascii="Times New Roman" w:hAnsi="Times New Roman" w:cs="Times New Roman"/>
        </w:rPr>
      </w:pPr>
      <w:r>
        <w:rPr>
          <w:rFonts w:ascii="Times New Roman" w:hAnsi="Times New Roman" w:cs="Times New Roman"/>
          <w:b/>
          <w:bCs/>
        </w:rPr>
        <w:t xml:space="preserve">Methods: </w:t>
      </w:r>
      <w:r>
        <w:rPr>
          <w:rFonts w:ascii="Times New Roman" w:hAnsi="Times New Roman" w:cs="Times New Roman"/>
        </w:rPr>
        <w:t>This was a single center retrospective chart review which analyzed patients who received heparin at the dose of 5000 units BID or TID between July and December of 2019 (n=4769).</w:t>
      </w:r>
    </w:p>
    <w:p w14:paraId="0555A5FC" w14:textId="77777777" w:rsidR="003D584E" w:rsidRDefault="003D584E" w:rsidP="003D584E">
      <w:pPr>
        <w:rPr>
          <w:rFonts w:ascii="Times New Roman" w:hAnsi="Times New Roman" w:cs="Times New Roman"/>
        </w:rPr>
      </w:pPr>
      <w:r>
        <w:rPr>
          <w:rFonts w:ascii="Times New Roman" w:hAnsi="Times New Roman" w:cs="Times New Roman"/>
          <w:b/>
          <w:bCs/>
        </w:rPr>
        <w:t xml:space="preserve">Results: </w:t>
      </w:r>
      <w:r>
        <w:rPr>
          <w:rFonts w:ascii="Times New Roman" w:hAnsi="Times New Roman" w:cs="Times New Roman"/>
        </w:rPr>
        <w:t xml:space="preserve">Symptomatic VTE resulted in 2 (5.6%) of the patients in BID group(n=36) and in 0 (0%) in TID group(n=36) (p&gt;0.9999). No major bleeding was observed in either group. Platelets drop to &lt;100,000 was observed in 4(11.1%) of the patients in BID group and in 2(4.3%) in TID group (p=0.3946). Platelets drop to &lt;50,000 was observed in 1(2.8%) of the patients in BID group and in 1(2.2%) in TID group (p=0.3946). </w:t>
      </w:r>
    </w:p>
    <w:p w14:paraId="41CD5CA2" w14:textId="7E679381" w:rsidR="003D584E" w:rsidRDefault="003D584E" w:rsidP="003D584E">
      <w:pPr>
        <w:rPr>
          <w:rFonts w:ascii="Times New Roman" w:hAnsi="Times New Roman" w:cs="Times New Roman"/>
        </w:rPr>
      </w:pPr>
      <w:r>
        <w:rPr>
          <w:rFonts w:ascii="Times New Roman" w:hAnsi="Times New Roman" w:cs="Times New Roman"/>
          <w:b/>
          <w:bCs/>
        </w:rPr>
        <w:t xml:space="preserve">Conclusion: </w:t>
      </w:r>
      <w:r>
        <w:rPr>
          <w:rFonts w:ascii="Times New Roman" w:hAnsi="Times New Roman" w:cs="Times New Roman"/>
        </w:rPr>
        <w:t xml:space="preserve">Results have shown that there is no difference in BID versus TID dosing in terms of occurrence of VTE, major bleeding and thrombocytopenia. </w:t>
      </w:r>
    </w:p>
    <w:p w14:paraId="6692C834" w14:textId="281754F9" w:rsidR="003D584E" w:rsidRDefault="003D584E" w:rsidP="003D584E">
      <w:pPr>
        <w:rPr>
          <w:rFonts w:ascii="Times New Roman" w:hAnsi="Times New Roman" w:cs="Times New Roman"/>
        </w:rPr>
      </w:pPr>
    </w:p>
    <w:p w14:paraId="2223A562" w14:textId="4C8C5AAC" w:rsidR="003D584E" w:rsidRDefault="003D584E" w:rsidP="003D584E">
      <w:pPr>
        <w:rPr>
          <w:rFonts w:ascii="Times New Roman" w:hAnsi="Times New Roman" w:cs="Times New Roman"/>
        </w:rPr>
      </w:pPr>
    </w:p>
    <w:p w14:paraId="3F7F498F" w14:textId="1135BAF5" w:rsidR="003D584E" w:rsidRDefault="003D584E" w:rsidP="003D584E">
      <w:pPr>
        <w:rPr>
          <w:rFonts w:ascii="Times New Roman" w:hAnsi="Times New Roman" w:cs="Times New Roman"/>
        </w:rPr>
      </w:pPr>
    </w:p>
    <w:p w14:paraId="555211D5" w14:textId="4883077F" w:rsidR="003D584E" w:rsidRDefault="003D584E" w:rsidP="003D584E">
      <w:pPr>
        <w:rPr>
          <w:rFonts w:ascii="Times New Roman" w:hAnsi="Times New Roman" w:cs="Times New Roman"/>
        </w:rPr>
      </w:pPr>
    </w:p>
    <w:p w14:paraId="65C37B49" w14:textId="175D8BCB" w:rsidR="003D584E" w:rsidRDefault="003D584E" w:rsidP="003D584E">
      <w:pPr>
        <w:rPr>
          <w:rFonts w:ascii="Times New Roman" w:hAnsi="Times New Roman" w:cs="Times New Roman"/>
        </w:rPr>
      </w:pPr>
    </w:p>
    <w:p w14:paraId="7AC8B047" w14:textId="001F8337" w:rsidR="003D584E" w:rsidRDefault="003D584E" w:rsidP="003D584E">
      <w:pPr>
        <w:rPr>
          <w:rFonts w:ascii="Times New Roman" w:hAnsi="Times New Roman" w:cs="Times New Roman"/>
        </w:rPr>
      </w:pPr>
    </w:p>
    <w:p w14:paraId="53F98C5A" w14:textId="278A3B74" w:rsidR="003D584E" w:rsidRDefault="003D584E" w:rsidP="003D584E">
      <w:pPr>
        <w:rPr>
          <w:rFonts w:ascii="Times New Roman" w:hAnsi="Times New Roman" w:cs="Times New Roman"/>
        </w:rPr>
      </w:pPr>
    </w:p>
    <w:p w14:paraId="7D17A26F" w14:textId="0EBF7F9A" w:rsidR="003D584E" w:rsidRDefault="003D584E" w:rsidP="003D584E">
      <w:pPr>
        <w:rPr>
          <w:rFonts w:ascii="Times New Roman" w:hAnsi="Times New Roman" w:cs="Times New Roman"/>
        </w:rPr>
      </w:pPr>
    </w:p>
    <w:p w14:paraId="638EF369" w14:textId="7E1CF362" w:rsidR="003D584E" w:rsidRDefault="003D584E" w:rsidP="003D584E">
      <w:pPr>
        <w:rPr>
          <w:rFonts w:ascii="Times New Roman" w:hAnsi="Times New Roman" w:cs="Times New Roman"/>
        </w:rPr>
      </w:pPr>
    </w:p>
    <w:p w14:paraId="37B1FA8D" w14:textId="41E5C81E" w:rsidR="003D584E" w:rsidRDefault="003D584E" w:rsidP="003D584E">
      <w:pPr>
        <w:rPr>
          <w:rFonts w:ascii="Times New Roman" w:hAnsi="Times New Roman" w:cs="Times New Roman"/>
        </w:rPr>
      </w:pPr>
    </w:p>
    <w:p w14:paraId="273AF906" w14:textId="1C7011A8" w:rsidR="003D584E" w:rsidRDefault="003D584E" w:rsidP="003D584E">
      <w:pPr>
        <w:rPr>
          <w:rFonts w:ascii="Times New Roman" w:hAnsi="Times New Roman" w:cs="Times New Roman"/>
        </w:rPr>
      </w:pPr>
    </w:p>
    <w:p w14:paraId="12620F88" w14:textId="56FAA268" w:rsidR="003D584E" w:rsidRDefault="003D584E" w:rsidP="003D584E">
      <w:pPr>
        <w:rPr>
          <w:rFonts w:ascii="Times New Roman" w:hAnsi="Times New Roman" w:cs="Times New Roman"/>
        </w:rPr>
      </w:pPr>
    </w:p>
    <w:p w14:paraId="68354CFD" w14:textId="5FD7849D" w:rsidR="003D584E" w:rsidRDefault="003D584E" w:rsidP="003D584E">
      <w:pPr>
        <w:rPr>
          <w:rFonts w:ascii="Times New Roman" w:hAnsi="Times New Roman" w:cs="Times New Roman"/>
        </w:rPr>
      </w:pPr>
    </w:p>
    <w:p w14:paraId="6A075ACB" w14:textId="3732FCD5" w:rsidR="003D584E" w:rsidRDefault="003D584E" w:rsidP="003D584E">
      <w:pPr>
        <w:rPr>
          <w:rFonts w:ascii="Times New Roman" w:hAnsi="Times New Roman" w:cs="Times New Roman"/>
        </w:rPr>
      </w:pPr>
    </w:p>
    <w:p w14:paraId="7599DAD8" w14:textId="77777777" w:rsidR="003D584E" w:rsidRPr="003D584E" w:rsidRDefault="003D584E" w:rsidP="003D584E">
      <w:pPr>
        <w:spacing w:after="0" w:line="240" w:lineRule="auto"/>
        <w:rPr>
          <w:rFonts w:ascii="Times New Roman" w:hAnsi="Times New Roman" w:cs="Times New Roman"/>
        </w:rPr>
      </w:pPr>
      <w:r w:rsidRPr="003D584E">
        <w:rPr>
          <w:rFonts w:ascii="Times New Roman" w:hAnsi="Times New Roman" w:cs="Times New Roman"/>
        </w:rPr>
        <w:lastRenderedPageBreak/>
        <w:t>ASSESSMENT OF OPIOID USE BEFORE AND AFTER IMPLEMENTATION OF MULTIMODAL ANALGESIA IN POST-OPERATIVE UROLOGY PATIENTS AND THE IMPACT OF PHARMACY PAIN STEWARDSHIP</w:t>
      </w:r>
    </w:p>
    <w:p w14:paraId="2A6D98B1" w14:textId="77777777" w:rsidR="003D584E" w:rsidRPr="003D584E" w:rsidRDefault="003D584E" w:rsidP="003D584E">
      <w:pPr>
        <w:spacing w:after="0" w:line="240" w:lineRule="auto"/>
        <w:rPr>
          <w:rFonts w:ascii="Times New Roman" w:hAnsi="Times New Roman" w:cs="Times New Roman"/>
        </w:rPr>
      </w:pPr>
      <w:r w:rsidRPr="003D584E">
        <w:rPr>
          <w:rFonts w:ascii="Times New Roman" w:hAnsi="Times New Roman" w:cs="Times New Roman"/>
          <w:u w:val="single"/>
        </w:rPr>
        <w:t>Hamil L</w:t>
      </w:r>
      <w:r w:rsidRPr="003D584E">
        <w:rPr>
          <w:rFonts w:ascii="Times New Roman" w:hAnsi="Times New Roman" w:cs="Times New Roman"/>
        </w:rPr>
        <w:t xml:space="preserve">, </w:t>
      </w:r>
      <w:r w:rsidRPr="003D584E">
        <w:rPr>
          <w:rFonts w:ascii="Times New Roman" w:hAnsi="Times New Roman" w:cs="Times New Roman"/>
          <w:u w:val="single"/>
        </w:rPr>
        <w:t>Reksc K*</w:t>
      </w:r>
    </w:p>
    <w:p w14:paraId="49877A78" w14:textId="77777777" w:rsidR="003D584E" w:rsidRPr="003D584E" w:rsidRDefault="003D584E" w:rsidP="003D584E">
      <w:pPr>
        <w:spacing w:after="0" w:line="240" w:lineRule="auto"/>
        <w:rPr>
          <w:rFonts w:ascii="Times New Roman" w:hAnsi="Times New Roman" w:cs="Times New Roman"/>
        </w:rPr>
      </w:pPr>
      <w:r w:rsidRPr="003D584E">
        <w:rPr>
          <w:rFonts w:ascii="Times New Roman" w:hAnsi="Times New Roman" w:cs="Times New Roman"/>
        </w:rPr>
        <w:t>St. Peter’s Hospital, 315 S Manning Blvd, Albany, NY 12208</w:t>
      </w:r>
    </w:p>
    <w:p w14:paraId="6D7221F6" w14:textId="77777777" w:rsidR="003D584E" w:rsidRPr="003D584E" w:rsidRDefault="003D584E" w:rsidP="003D584E">
      <w:pPr>
        <w:spacing w:after="0" w:line="240" w:lineRule="auto"/>
        <w:rPr>
          <w:rFonts w:ascii="Times New Roman" w:hAnsi="Times New Roman" w:cs="Times New Roman"/>
          <w:b/>
          <w:bCs/>
        </w:rPr>
      </w:pPr>
    </w:p>
    <w:p w14:paraId="4E8DC870" w14:textId="77777777" w:rsidR="003D584E" w:rsidRPr="003D584E" w:rsidRDefault="003D584E" w:rsidP="003D584E">
      <w:pPr>
        <w:spacing w:after="0" w:line="240" w:lineRule="auto"/>
        <w:rPr>
          <w:rFonts w:ascii="Times New Roman" w:hAnsi="Times New Roman" w:cs="Times New Roman"/>
        </w:rPr>
      </w:pPr>
      <w:r w:rsidRPr="003D584E">
        <w:rPr>
          <w:rFonts w:ascii="Times New Roman" w:hAnsi="Times New Roman" w:cs="Times New Roman"/>
          <w:b/>
          <w:bCs/>
        </w:rPr>
        <w:t xml:space="preserve">Background: </w:t>
      </w:r>
      <w:r w:rsidRPr="003D584E">
        <w:rPr>
          <w:rFonts w:ascii="Times New Roman" w:hAnsi="Times New Roman" w:cs="Times New Roman"/>
        </w:rPr>
        <w:t xml:space="preserve">Multimodal analgesia is the provision of multiple medications with different mechanisms of action in order to achieve a synergistic analgesic effect. This method of pain management utilizes around the clock medications such as acetaminophen, non-steroidal anti-inflammatory drugs (NSAIDs) and topical local anesthetics. Multimodal analgesia offers a way to assist in pain management while reducing the incidence of adverse effects associated with opioids and thereby enhancing patient recovery. </w:t>
      </w:r>
    </w:p>
    <w:p w14:paraId="304F4415" w14:textId="77777777" w:rsidR="003D584E" w:rsidRPr="003D584E" w:rsidRDefault="003D584E" w:rsidP="003D584E">
      <w:pPr>
        <w:spacing w:after="0" w:line="240" w:lineRule="auto"/>
        <w:rPr>
          <w:rFonts w:ascii="Times New Roman" w:hAnsi="Times New Roman" w:cs="Times New Roman"/>
        </w:rPr>
      </w:pPr>
    </w:p>
    <w:p w14:paraId="6BF3B9D6" w14:textId="77777777" w:rsidR="003D584E" w:rsidRPr="003D584E" w:rsidRDefault="003D584E" w:rsidP="003D584E">
      <w:pPr>
        <w:spacing w:after="0" w:line="240" w:lineRule="auto"/>
        <w:rPr>
          <w:rFonts w:ascii="Times New Roman" w:hAnsi="Times New Roman" w:cs="Times New Roman"/>
        </w:rPr>
      </w:pPr>
      <w:r w:rsidRPr="003D584E">
        <w:rPr>
          <w:rFonts w:ascii="Times New Roman" w:hAnsi="Times New Roman" w:cs="Times New Roman"/>
          <w:b/>
          <w:bCs/>
        </w:rPr>
        <w:t xml:space="preserve">Objective: </w:t>
      </w:r>
      <w:r w:rsidRPr="003D584E">
        <w:rPr>
          <w:rFonts w:ascii="Times New Roman" w:hAnsi="Times New Roman" w:cs="Times New Roman"/>
        </w:rPr>
        <w:t>To improve pain management while concurrently reducing opioid use by implementing multimodal analgesia in patients undergoing robotic urologic surgeries.</w:t>
      </w:r>
    </w:p>
    <w:p w14:paraId="002D2947" w14:textId="77777777" w:rsidR="003D584E" w:rsidRPr="003D584E" w:rsidRDefault="003D584E" w:rsidP="003D584E">
      <w:pPr>
        <w:spacing w:after="0" w:line="240" w:lineRule="auto"/>
        <w:rPr>
          <w:rFonts w:ascii="Times New Roman" w:hAnsi="Times New Roman" w:cs="Times New Roman"/>
        </w:rPr>
      </w:pPr>
      <w:r w:rsidRPr="003D584E">
        <w:rPr>
          <w:rFonts w:ascii="Times New Roman" w:hAnsi="Times New Roman" w:cs="Times New Roman"/>
        </w:rPr>
        <w:t xml:space="preserve"> </w:t>
      </w:r>
    </w:p>
    <w:p w14:paraId="5F9536DF" w14:textId="77777777" w:rsidR="003D584E" w:rsidRPr="003D584E" w:rsidRDefault="003D584E" w:rsidP="003D584E">
      <w:pPr>
        <w:spacing w:after="0" w:line="240" w:lineRule="auto"/>
        <w:rPr>
          <w:rFonts w:ascii="Times New Roman" w:hAnsi="Times New Roman" w:cs="Times New Roman"/>
        </w:rPr>
      </w:pPr>
      <w:r w:rsidRPr="003D584E">
        <w:rPr>
          <w:rFonts w:ascii="Times New Roman" w:hAnsi="Times New Roman" w:cs="Times New Roman"/>
          <w:b/>
          <w:bCs/>
        </w:rPr>
        <w:t xml:space="preserve">Methods: </w:t>
      </w:r>
      <w:r w:rsidRPr="003D584E">
        <w:rPr>
          <w:rFonts w:ascii="Times New Roman" w:hAnsi="Times New Roman" w:cs="Times New Roman"/>
        </w:rPr>
        <w:t>This was a single-center intervention study consisting of both a retrospective and a concurrent phase with a convenience sample of 50 patients chosen for each group. The first phase is a retrospective review and uses data prior to the initiation of a pharmacist driven multimodal analgesia protocol in post-operative urology patients. The second phase was a concurrent review of the interventions made after the initiation of the protocol.</w:t>
      </w:r>
    </w:p>
    <w:p w14:paraId="7A66FE0C" w14:textId="77777777" w:rsidR="003D584E" w:rsidRPr="003D584E" w:rsidRDefault="003D584E" w:rsidP="003D584E">
      <w:pPr>
        <w:spacing w:after="0" w:line="240" w:lineRule="auto"/>
        <w:rPr>
          <w:rFonts w:ascii="Times New Roman" w:hAnsi="Times New Roman" w:cs="Times New Roman"/>
        </w:rPr>
      </w:pPr>
    </w:p>
    <w:p w14:paraId="5C2D164F" w14:textId="77777777" w:rsidR="003D584E" w:rsidRPr="003D584E" w:rsidRDefault="003D584E" w:rsidP="003D584E">
      <w:pPr>
        <w:spacing w:after="0" w:line="240" w:lineRule="auto"/>
        <w:rPr>
          <w:rFonts w:ascii="Times New Roman" w:hAnsi="Times New Roman" w:cs="Times New Roman"/>
        </w:rPr>
      </w:pPr>
      <w:r w:rsidRPr="003D584E">
        <w:rPr>
          <w:rFonts w:ascii="Times New Roman" w:hAnsi="Times New Roman" w:cs="Times New Roman"/>
          <w:b/>
          <w:bCs/>
        </w:rPr>
        <w:t xml:space="preserve">Results: </w:t>
      </w:r>
      <w:r w:rsidRPr="003D584E">
        <w:rPr>
          <w:rFonts w:ascii="Times New Roman" w:hAnsi="Times New Roman" w:cs="Times New Roman"/>
        </w:rPr>
        <w:t xml:space="preserve">Implementation of a multimodal analgesia regimen in postoperative urologic surgery patients resulted in a 49.3% decrease in milligrams of oral morphine equivalents received while inpatient. There was a total of 72 interventions made by the pharmacist after the implementation of the protocol which resulted in a rate of 1.44 interventions per patient. </w:t>
      </w:r>
    </w:p>
    <w:p w14:paraId="48BDA998" w14:textId="77777777" w:rsidR="003D584E" w:rsidRPr="003D584E" w:rsidRDefault="003D584E" w:rsidP="003D584E">
      <w:pPr>
        <w:spacing w:after="0" w:line="240" w:lineRule="auto"/>
        <w:rPr>
          <w:rFonts w:ascii="Times New Roman" w:hAnsi="Times New Roman" w:cs="Times New Roman"/>
        </w:rPr>
      </w:pPr>
    </w:p>
    <w:p w14:paraId="2F1FFE57" w14:textId="77777777" w:rsidR="003D584E" w:rsidRPr="003D584E" w:rsidRDefault="003D584E" w:rsidP="003D584E">
      <w:pPr>
        <w:spacing w:after="0" w:line="240" w:lineRule="auto"/>
        <w:rPr>
          <w:rFonts w:ascii="Times New Roman" w:hAnsi="Times New Roman" w:cs="Times New Roman"/>
          <w:vertAlign w:val="superscript"/>
        </w:rPr>
      </w:pPr>
      <w:r w:rsidRPr="003D584E">
        <w:rPr>
          <w:rFonts w:ascii="Times New Roman" w:hAnsi="Times New Roman" w:cs="Times New Roman"/>
          <w:b/>
          <w:bCs/>
        </w:rPr>
        <w:t xml:space="preserve">Conclusions: </w:t>
      </w:r>
      <w:r w:rsidRPr="003D584E">
        <w:rPr>
          <w:rFonts w:ascii="Times New Roman" w:hAnsi="Times New Roman" w:cs="Times New Roman"/>
        </w:rPr>
        <w:t>Implementation of a pharmacy driven automatic interchange protocol to initiate multimodal analgesia in postoperative urologic patients led to a decrease in the oral morphine equivalents used.</w:t>
      </w:r>
    </w:p>
    <w:p w14:paraId="796D2C70" w14:textId="77777777" w:rsidR="003D584E" w:rsidRDefault="003D584E" w:rsidP="003D584E">
      <w:pPr>
        <w:rPr>
          <w:rFonts w:ascii="Times New Roman" w:hAnsi="Times New Roman" w:cs="Times New Roman"/>
          <w:sz w:val="20"/>
          <w:szCs w:val="20"/>
        </w:rPr>
      </w:pPr>
    </w:p>
    <w:p w14:paraId="3A1A3E1D" w14:textId="77777777" w:rsidR="003D584E" w:rsidRDefault="003D584E" w:rsidP="003D584E">
      <w:pPr>
        <w:rPr>
          <w:rFonts w:ascii="Times New Roman" w:hAnsi="Times New Roman" w:cs="Times New Roman"/>
        </w:rPr>
      </w:pPr>
    </w:p>
    <w:p w14:paraId="0184FA21" w14:textId="77777777" w:rsidR="003D584E" w:rsidRPr="004A33D4" w:rsidRDefault="003D584E" w:rsidP="004A33D4">
      <w:pPr>
        <w:rPr>
          <w:rFonts w:ascii="Times New Roman" w:hAnsi="Times New Roman" w:cs="Times New Roman"/>
        </w:rPr>
      </w:pPr>
    </w:p>
    <w:p w14:paraId="6089E862" w14:textId="54308A19" w:rsidR="004A33D4" w:rsidRDefault="004A33D4" w:rsidP="0007657F">
      <w:pPr>
        <w:rPr>
          <w:sz w:val="24"/>
          <w:szCs w:val="24"/>
        </w:rPr>
      </w:pPr>
    </w:p>
    <w:p w14:paraId="652ED080" w14:textId="50019C29" w:rsidR="003D584E" w:rsidRDefault="003D584E" w:rsidP="0007657F">
      <w:pPr>
        <w:rPr>
          <w:sz w:val="24"/>
          <w:szCs w:val="24"/>
        </w:rPr>
      </w:pPr>
    </w:p>
    <w:p w14:paraId="68D0ACAE" w14:textId="287D7C9C" w:rsidR="003D584E" w:rsidRDefault="003D584E" w:rsidP="0007657F">
      <w:pPr>
        <w:rPr>
          <w:sz w:val="24"/>
          <w:szCs w:val="24"/>
        </w:rPr>
      </w:pPr>
    </w:p>
    <w:p w14:paraId="712227A3" w14:textId="4657968B" w:rsidR="003D584E" w:rsidRDefault="003D584E" w:rsidP="0007657F">
      <w:pPr>
        <w:rPr>
          <w:sz w:val="24"/>
          <w:szCs w:val="24"/>
        </w:rPr>
      </w:pPr>
    </w:p>
    <w:p w14:paraId="293735ED" w14:textId="461CA05C" w:rsidR="003D584E" w:rsidRDefault="003D584E" w:rsidP="0007657F">
      <w:pPr>
        <w:rPr>
          <w:sz w:val="24"/>
          <w:szCs w:val="24"/>
        </w:rPr>
      </w:pPr>
    </w:p>
    <w:p w14:paraId="5340CC67" w14:textId="77EE633B" w:rsidR="003D584E" w:rsidRDefault="003D584E" w:rsidP="0007657F">
      <w:pPr>
        <w:rPr>
          <w:sz w:val="24"/>
          <w:szCs w:val="24"/>
        </w:rPr>
      </w:pPr>
    </w:p>
    <w:p w14:paraId="0F61CA25" w14:textId="35949CB9" w:rsidR="003D584E" w:rsidRDefault="003D584E" w:rsidP="0007657F">
      <w:pPr>
        <w:rPr>
          <w:sz w:val="24"/>
          <w:szCs w:val="24"/>
        </w:rPr>
      </w:pPr>
    </w:p>
    <w:p w14:paraId="214D304A" w14:textId="29423A83" w:rsidR="003D584E" w:rsidRDefault="003D584E" w:rsidP="0007657F">
      <w:pPr>
        <w:rPr>
          <w:sz w:val="24"/>
          <w:szCs w:val="24"/>
        </w:rPr>
      </w:pPr>
    </w:p>
    <w:p w14:paraId="6CCB6CD5" w14:textId="531B1EE4" w:rsidR="003D584E" w:rsidRDefault="003D584E" w:rsidP="0007657F">
      <w:pPr>
        <w:rPr>
          <w:sz w:val="24"/>
          <w:szCs w:val="24"/>
        </w:rPr>
      </w:pPr>
    </w:p>
    <w:p w14:paraId="527CDFE0" w14:textId="1BA5866B" w:rsidR="003D584E" w:rsidRDefault="003D584E" w:rsidP="0007657F">
      <w:pPr>
        <w:rPr>
          <w:sz w:val="24"/>
          <w:szCs w:val="24"/>
        </w:rPr>
      </w:pPr>
    </w:p>
    <w:p w14:paraId="487C787B" w14:textId="77777777" w:rsidR="003D584E" w:rsidRPr="003D584E" w:rsidRDefault="003D584E" w:rsidP="003D584E">
      <w:pPr>
        <w:spacing w:line="240" w:lineRule="auto"/>
        <w:rPr>
          <w:rFonts w:ascii="Times New Roman" w:hAnsi="Times New Roman" w:cs="Times New Roman"/>
        </w:rPr>
      </w:pPr>
      <w:r w:rsidRPr="003D584E">
        <w:rPr>
          <w:rFonts w:ascii="Times New Roman" w:hAnsi="Times New Roman" w:cs="Times New Roman"/>
        </w:rPr>
        <w:lastRenderedPageBreak/>
        <w:t>EFFICACY AND SAFETY OF DOCUSATE AS A STOOL SOFTENER IN PEDIATRIC PATIENTS.</w:t>
      </w:r>
    </w:p>
    <w:p w14:paraId="6A26E6F7" w14:textId="77777777" w:rsidR="003D584E" w:rsidRPr="003D584E" w:rsidRDefault="003D584E" w:rsidP="003D584E">
      <w:pPr>
        <w:spacing w:line="240" w:lineRule="auto"/>
        <w:rPr>
          <w:rFonts w:ascii="Times New Roman" w:hAnsi="Times New Roman" w:cs="Times New Roman"/>
          <w:u w:val="single"/>
        </w:rPr>
      </w:pPr>
      <w:r w:rsidRPr="003D584E">
        <w:rPr>
          <w:rFonts w:ascii="Times New Roman" w:hAnsi="Times New Roman" w:cs="Times New Roman"/>
          <w:u w:val="single"/>
        </w:rPr>
        <w:t>Saif H*, Wong A, Mendelsohn K, Noyola E, El-Chaar G</w:t>
      </w:r>
    </w:p>
    <w:p w14:paraId="71777B3A" w14:textId="77777777" w:rsidR="003D584E" w:rsidRPr="003D584E" w:rsidRDefault="003D584E" w:rsidP="003D584E">
      <w:pPr>
        <w:spacing w:line="240" w:lineRule="auto"/>
        <w:rPr>
          <w:rFonts w:ascii="Times New Roman" w:hAnsi="Times New Roman" w:cs="Times New Roman"/>
        </w:rPr>
      </w:pPr>
      <w:r w:rsidRPr="003D584E">
        <w:rPr>
          <w:rFonts w:ascii="Times New Roman" w:hAnsi="Times New Roman" w:cs="Times New Roman"/>
        </w:rPr>
        <w:t>NYU Langone—Long Island, 259 First St. Mineola, NY 11501</w:t>
      </w:r>
    </w:p>
    <w:p w14:paraId="0FBF56AF" w14:textId="77777777" w:rsidR="003D584E" w:rsidRPr="003D584E" w:rsidRDefault="003D584E" w:rsidP="003D584E">
      <w:pPr>
        <w:spacing w:line="240" w:lineRule="auto"/>
        <w:rPr>
          <w:rFonts w:ascii="Times New Roman" w:hAnsi="Times New Roman" w:cs="Times New Roman"/>
          <w:b/>
        </w:rPr>
      </w:pPr>
    </w:p>
    <w:p w14:paraId="3A6D3FBB" w14:textId="77777777" w:rsidR="003D584E" w:rsidRPr="003D584E" w:rsidRDefault="003D584E" w:rsidP="003D584E">
      <w:pPr>
        <w:spacing w:line="240" w:lineRule="auto"/>
        <w:rPr>
          <w:rFonts w:ascii="Times New Roman" w:hAnsi="Times New Roman" w:cs="Times New Roman"/>
          <w:b/>
        </w:rPr>
      </w:pPr>
      <w:r w:rsidRPr="003D584E">
        <w:rPr>
          <w:rFonts w:ascii="Times New Roman" w:hAnsi="Times New Roman" w:cs="Times New Roman"/>
          <w:b/>
        </w:rPr>
        <w:t xml:space="preserve">Background: </w:t>
      </w:r>
      <w:sdt>
        <w:sdtPr>
          <w:rPr>
            <w:rFonts w:ascii="Times New Roman" w:eastAsia="Times New Roman" w:hAnsi="Times New Roman" w:cs="Times New Roman"/>
            <w:lang w:val="en"/>
          </w:rPr>
          <w:id w:val="1836175390"/>
          <w:placeholder>
            <w:docPart w:val="D6D4264BCC1B4CA983326AAA87935048"/>
          </w:placeholder>
          <w:text/>
        </w:sdtPr>
        <w:sdtEndPr/>
        <w:sdtContent>
          <w:r w:rsidRPr="003D584E">
            <w:rPr>
              <w:rFonts w:ascii="Times New Roman" w:eastAsia="Times New Roman" w:hAnsi="Times New Roman" w:cs="Times New Roman"/>
              <w:lang w:val="en"/>
            </w:rPr>
            <w:t>Constipation is a complication that occurs commonly in hospitalized pediatric patients. For years, docusate was considered first-line therapy for the management of constipation in the pediatric population, due to its fast onset of action, and tolerability. In recent years, polyethylene glycol 3350 (PEG-3350) became available and is now also commonly used in pediatric patients.</w:t>
          </w:r>
        </w:sdtContent>
      </w:sdt>
    </w:p>
    <w:p w14:paraId="0C32BFB4" w14:textId="77777777" w:rsidR="003D584E" w:rsidRPr="003D584E" w:rsidRDefault="003D584E" w:rsidP="003D584E">
      <w:pPr>
        <w:spacing w:line="240" w:lineRule="auto"/>
        <w:rPr>
          <w:rFonts w:ascii="Times New Roman" w:hAnsi="Times New Roman" w:cs="Times New Roman"/>
          <w:b/>
        </w:rPr>
      </w:pPr>
      <w:r w:rsidRPr="003D584E">
        <w:rPr>
          <w:rFonts w:ascii="Times New Roman" w:hAnsi="Times New Roman" w:cs="Times New Roman"/>
          <w:b/>
        </w:rPr>
        <w:t xml:space="preserve">Objectives: </w:t>
      </w:r>
      <w:sdt>
        <w:sdtPr>
          <w:rPr>
            <w:rFonts w:ascii="Times New Roman" w:hAnsi="Times New Roman" w:cs="Times New Roman"/>
          </w:rPr>
          <w:id w:val="1989200558"/>
          <w:placeholder>
            <w:docPart w:val="7B7349664F7D4E6CAE36DC85C66B1521"/>
          </w:placeholder>
          <w:text/>
        </w:sdtPr>
        <w:sdtEndPr/>
        <w:sdtContent>
          <w:r w:rsidRPr="003D584E">
            <w:rPr>
              <w:rFonts w:ascii="Times New Roman" w:hAnsi="Times New Roman" w:cs="Times New Roman"/>
            </w:rPr>
            <w:t>The primary objective is to assess the efficacy and safety of oral docusate. Secondary objectives are to compare the efficacy and safety of oral docusate and PEG-3350.</w:t>
          </w:r>
        </w:sdtContent>
      </w:sdt>
    </w:p>
    <w:p w14:paraId="11F11CE8" w14:textId="77777777" w:rsidR="003D584E" w:rsidRPr="003D584E" w:rsidRDefault="003D584E" w:rsidP="003D584E">
      <w:pPr>
        <w:spacing w:after="0" w:line="240" w:lineRule="auto"/>
        <w:rPr>
          <w:rFonts w:ascii="Times New Roman" w:hAnsi="Times New Roman" w:cs="Times New Roman"/>
        </w:rPr>
      </w:pPr>
    </w:p>
    <w:p w14:paraId="69EEB2D1" w14:textId="77777777" w:rsidR="003D584E" w:rsidRPr="003D584E" w:rsidRDefault="003D584E" w:rsidP="003D584E">
      <w:pPr>
        <w:spacing w:line="240" w:lineRule="auto"/>
        <w:rPr>
          <w:rFonts w:ascii="Times New Roman" w:hAnsi="Times New Roman" w:cs="Times New Roman"/>
          <w:b/>
        </w:rPr>
      </w:pPr>
      <w:r w:rsidRPr="003D584E">
        <w:rPr>
          <w:rFonts w:ascii="Times New Roman" w:hAnsi="Times New Roman" w:cs="Times New Roman"/>
          <w:b/>
        </w:rPr>
        <w:t xml:space="preserve">Methods: </w:t>
      </w:r>
      <w:sdt>
        <w:sdtPr>
          <w:rPr>
            <w:rFonts w:ascii="Times New Roman" w:eastAsia="Times New Roman" w:hAnsi="Times New Roman" w:cs="Times New Roman"/>
            <w:lang w:val="en"/>
          </w:rPr>
          <w:id w:val="-2142110663"/>
          <w:placeholder>
            <w:docPart w:val="1A95FE81896E4721B1CC75BAC0A41BAF"/>
          </w:placeholder>
          <w:text/>
        </w:sdtPr>
        <w:sdtEndPr/>
        <w:sdtContent>
          <w:r w:rsidRPr="003D584E">
            <w:rPr>
              <w:rFonts w:ascii="Times New Roman" w:eastAsia="Times New Roman" w:hAnsi="Times New Roman" w:cs="Times New Roman"/>
              <w:lang w:val="en"/>
            </w:rPr>
            <w:t>This is a retrospective study that includes children between the ages of 1 month-18 years who received oral docusate or PEG-3350. We evaluated the number of dosages administered, times and frequency of administration, patient’s tolerance of the agent(s), time from administration of the first dose to first bowel movement, frequency and quality of bowel movements per 24-hour periods, changes of bowel sounds and bowel exams, adverse effects to docusate and PEG-3350, and any required pharmacological escalation of therapy.</w:t>
          </w:r>
        </w:sdtContent>
      </w:sdt>
    </w:p>
    <w:p w14:paraId="054EE128" w14:textId="77777777" w:rsidR="003D584E" w:rsidRPr="003D584E" w:rsidRDefault="003D584E" w:rsidP="003D584E">
      <w:pPr>
        <w:spacing w:line="240" w:lineRule="auto"/>
        <w:rPr>
          <w:rFonts w:ascii="Times New Roman" w:hAnsi="Times New Roman" w:cs="Times New Roman"/>
          <w:b/>
        </w:rPr>
      </w:pPr>
      <w:r w:rsidRPr="003D584E">
        <w:rPr>
          <w:rFonts w:ascii="Times New Roman" w:hAnsi="Times New Roman" w:cs="Times New Roman"/>
          <w:b/>
        </w:rPr>
        <w:t xml:space="preserve">Results:  </w:t>
      </w:r>
      <w:sdt>
        <w:sdtPr>
          <w:rPr>
            <w:rFonts w:ascii="Times New Roman" w:hAnsi="Times New Roman" w:cs="Times New Roman"/>
          </w:rPr>
          <w:id w:val="2103914564"/>
          <w:placeholder>
            <w:docPart w:val="BAE9AAA45A6843379ABC3E9BB9B70498"/>
          </w:placeholder>
          <w:text/>
        </w:sdtPr>
        <w:sdtEndPr/>
        <w:sdtContent>
          <w:r w:rsidRPr="003D584E">
            <w:rPr>
              <w:rFonts w:ascii="Times New Roman" w:hAnsi="Times New Roman" w:cs="Times New Roman"/>
            </w:rPr>
            <w:t>27 patients who received oral docusate were included in this study. Of the 27 patients, 5 had a reported bowel movement. Of these 5 patients, 4/5 stooled within 24 hours while 1/5 stooled within 72 hours. Only 1/5 patients reported having loose stools. All patients who received oral docusate tolerated their dose. Data collection on PEG3350 is ongoing.</w:t>
          </w:r>
        </w:sdtContent>
      </w:sdt>
    </w:p>
    <w:p w14:paraId="3E207E38" w14:textId="77777777" w:rsidR="003D584E" w:rsidRPr="003D584E" w:rsidRDefault="003D584E" w:rsidP="003D584E">
      <w:pPr>
        <w:spacing w:line="240" w:lineRule="auto"/>
        <w:rPr>
          <w:rFonts w:ascii="Times New Roman" w:hAnsi="Times New Roman" w:cs="Times New Roman"/>
          <w:b/>
        </w:rPr>
      </w:pPr>
      <w:r w:rsidRPr="003D584E">
        <w:rPr>
          <w:rFonts w:ascii="Times New Roman" w:hAnsi="Times New Roman" w:cs="Times New Roman"/>
          <w:b/>
        </w:rPr>
        <w:t>Conclusions:</w:t>
      </w:r>
      <w:r w:rsidRPr="003D584E">
        <w:rPr>
          <w:rFonts w:ascii="Times New Roman" w:hAnsi="Times New Roman" w:cs="Times New Roman"/>
        </w:rPr>
        <w:t xml:space="preserve"> </w:t>
      </w:r>
      <w:sdt>
        <w:sdtPr>
          <w:rPr>
            <w:rFonts w:ascii="Times New Roman" w:hAnsi="Times New Roman" w:cs="Times New Roman"/>
          </w:rPr>
          <w:id w:val="-2141258482"/>
          <w:placeholder>
            <w:docPart w:val="2611A9A85F2A46F3A6E7307716FBC0E7"/>
          </w:placeholder>
          <w:text/>
        </w:sdtPr>
        <w:sdtEndPr/>
        <w:sdtContent>
          <w:r w:rsidRPr="003D584E">
            <w:rPr>
              <w:rFonts w:ascii="Times New Roman" w:hAnsi="Times New Roman" w:cs="Times New Roman"/>
            </w:rPr>
            <w:t xml:space="preserve">Preliminary results showed that oral docusate is safe and tolerable. A larger sample size will help further evaluate the safety and efficacy of oral docusate and thus, data collection is currently ongoing. </w:t>
          </w:r>
        </w:sdtContent>
      </w:sdt>
    </w:p>
    <w:p w14:paraId="38227BE1" w14:textId="7BA7DEB0" w:rsidR="003D584E" w:rsidRDefault="003D584E" w:rsidP="0007657F">
      <w:pPr>
        <w:rPr>
          <w:sz w:val="24"/>
          <w:szCs w:val="24"/>
        </w:rPr>
      </w:pPr>
    </w:p>
    <w:p w14:paraId="72170D7B" w14:textId="796D1826" w:rsidR="003D584E" w:rsidRDefault="003D584E" w:rsidP="0007657F">
      <w:pPr>
        <w:rPr>
          <w:sz w:val="24"/>
          <w:szCs w:val="24"/>
        </w:rPr>
      </w:pPr>
    </w:p>
    <w:p w14:paraId="69445C5E" w14:textId="7E987802" w:rsidR="003D584E" w:rsidRDefault="003D584E" w:rsidP="0007657F">
      <w:pPr>
        <w:rPr>
          <w:sz w:val="24"/>
          <w:szCs w:val="24"/>
        </w:rPr>
      </w:pPr>
    </w:p>
    <w:p w14:paraId="3A40DA37" w14:textId="650042A0" w:rsidR="003D584E" w:rsidRDefault="003D584E" w:rsidP="0007657F">
      <w:pPr>
        <w:rPr>
          <w:sz w:val="24"/>
          <w:szCs w:val="24"/>
        </w:rPr>
      </w:pPr>
    </w:p>
    <w:p w14:paraId="5608DB60" w14:textId="2CD4D741" w:rsidR="003D584E" w:rsidRDefault="003D584E" w:rsidP="0007657F">
      <w:pPr>
        <w:rPr>
          <w:sz w:val="24"/>
          <w:szCs w:val="24"/>
        </w:rPr>
      </w:pPr>
    </w:p>
    <w:p w14:paraId="7C52A93C" w14:textId="0A334DB9" w:rsidR="003D584E" w:rsidRDefault="003D584E" w:rsidP="0007657F">
      <w:pPr>
        <w:rPr>
          <w:sz w:val="24"/>
          <w:szCs w:val="24"/>
        </w:rPr>
      </w:pPr>
    </w:p>
    <w:p w14:paraId="6D396D79" w14:textId="4F29AECC" w:rsidR="003D584E" w:rsidRDefault="003D584E" w:rsidP="0007657F">
      <w:pPr>
        <w:rPr>
          <w:sz w:val="24"/>
          <w:szCs w:val="24"/>
        </w:rPr>
      </w:pPr>
    </w:p>
    <w:p w14:paraId="0D239B0F" w14:textId="2A0044D9" w:rsidR="003D584E" w:rsidRDefault="003D584E" w:rsidP="0007657F">
      <w:pPr>
        <w:rPr>
          <w:sz w:val="24"/>
          <w:szCs w:val="24"/>
        </w:rPr>
      </w:pPr>
    </w:p>
    <w:p w14:paraId="675E0DB9" w14:textId="1E416AB2" w:rsidR="003D584E" w:rsidRDefault="003D584E" w:rsidP="0007657F">
      <w:pPr>
        <w:rPr>
          <w:sz w:val="24"/>
          <w:szCs w:val="24"/>
        </w:rPr>
      </w:pPr>
    </w:p>
    <w:p w14:paraId="4EA6E523" w14:textId="73B14B93" w:rsidR="003D584E" w:rsidRDefault="003D584E" w:rsidP="0007657F">
      <w:pPr>
        <w:rPr>
          <w:sz w:val="24"/>
          <w:szCs w:val="24"/>
        </w:rPr>
      </w:pPr>
    </w:p>
    <w:p w14:paraId="73AD3AC3" w14:textId="57B44E7D" w:rsidR="003D584E" w:rsidRDefault="003D584E" w:rsidP="0007657F">
      <w:pPr>
        <w:rPr>
          <w:sz w:val="24"/>
          <w:szCs w:val="24"/>
        </w:rPr>
      </w:pPr>
    </w:p>
    <w:p w14:paraId="348FB1A1" w14:textId="77777777" w:rsidR="003D584E" w:rsidRDefault="003D584E" w:rsidP="003D584E">
      <w:pPr>
        <w:rPr>
          <w:rFonts w:ascii="Times New Roman" w:hAnsi="Times New Roman" w:cs="Times New Roman"/>
          <w:sz w:val="24"/>
          <w:szCs w:val="24"/>
        </w:rPr>
      </w:pPr>
      <w:r>
        <w:rPr>
          <w:rFonts w:ascii="Times New Roman" w:hAnsi="Times New Roman" w:cs="Times New Roman"/>
          <w:sz w:val="24"/>
          <w:szCs w:val="24"/>
        </w:rPr>
        <w:lastRenderedPageBreak/>
        <w:t>CHARACTERIZATION OF UNFRACTIONATED HEPARIN MONITORING PRACTICES IN PATIENTS WITH RECENT ORAL FACTOR Xa INHIBITOR EXPOSURE: A NATIONAL CROSS-SECTIONAL SURVEY</w:t>
      </w:r>
    </w:p>
    <w:p w14:paraId="079E3AAB" w14:textId="77777777" w:rsidR="003D584E" w:rsidRDefault="003D584E" w:rsidP="003D584E">
      <w:pPr>
        <w:rPr>
          <w:rFonts w:ascii="Times New Roman" w:hAnsi="Times New Roman" w:cs="Times New Roman"/>
          <w:sz w:val="24"/>
          <w:szCs w:val="24"/>
        </w:rPr>
      </w:pPr>
      <w:r>
        <w:rPr>
          <w:rFonts w:ascii="Times New Roman" w:hAnsi="Times New Roman" w:cs="Times New Roman"/>
          <w:sz w:val="24"/>
          <w:szCs w:val="24"/>
          <w:u w:val="single"/>
        </w:rPr>
        <w:t>Sandhu G</w:t>
      </w:r>
      <w:r>
        <w:rPr>
          <w:rFonts w:ascii="Times New Roman" w:hAnsi="Times New Roman" w:cs="Times New Roman"/>
          <w:sz w:val="24"/>
          <w:szCs w:val="24"/>
        </w:rPr>
        <w:t xml:space="preserve">*, </w:t>
      </w:r>
      <w:r>
        <w:rPr>
          <w:rFonts w:ascii="Times New Roman" w:hAnsi="Times New Roman" w:cs="Times New Roman"/>
          <w:sz w:val="24"/>
          <w:szCs w:val="24"/>
          <w:u w:val="single"/>
        </w:rPr>
        <w:t>Mogle B</w:t>
      </w:r>
      <w:r>
        <w:rPr>
          <w:rFonts w:ascii="Times New Roman" w:hAnsi="Times New Roman" w:cs="Times New Roman"/>
          <w:sz w:val="24"/>
          <w:szCs w:val="24"/>
        </w:rPr>
        <w:t xml:space="preserve">, </w:t>
      </w:r>
      <w:r>
        <w:rPr>
          <w:rFonts w:ascii="Times New Roman" w:hAnsi="Times New Roman" w:cs="Times New Roman"/>
          <w:sz w:val="24"/>
          <w:szCs w:val="24"/>
          <w:u w:val="single"/>
        </w:rPr>
        <w:t>Seabury R</w:t>
      </w:r>
      <w:r>
        <w:rPr>
          <w:rFonts w:ascii="Times New Roman" w:hAnsi="Times New Roman" w:cs="Times New Roman"/>
          <w:sz w:val="24"/>
          <w:szCs w:val="24"/>
        </w:rPr>
        <w:t xml:space="preserve">, </w:t>
      </w:r>
      <w:r>
        <w:rPr>
          <w:rFonts w:ascii="Times New Roman" w:hAnsi="Times New Roman" w:cs="Times New Roman"/>
          <w:sz w:val="24"/>
          <w:szCs w:val="24"/>
          <w:u w:val="single"/>
        </w:rPr>
        <w:t>Miller C</w:t>
      </w:r>
      <w:r>
        <w:rPr>
          <w:rFonts w:ascii="Times New Roman" w:hAnsi="Times New Roman" w:cs="Times New Roman"/>
          <w:sz w:val="24"/>
          <w:szCs w:val="24"/>
        </w:rPr>
        <w:t xml:space="preserve">, </w:t>
      </w:r>
      <w:r>
        <w:rPr>
          <w:rFonts w:ascii="Times New Roman" w:hAnsi="Times New Roman" w:cs="Times New Roman"/>
          <w:sz w:val="24"/>
          <w:szCs w:val="24"/>
          <w:u w:val="single"/>
        </w:rPr>
        <w:t>Darko W</w:t>
      </w:r>
      <w:r>
        <w:rPr>
          <w:rFonts w:ascii="Times New Roman" w:hAnsi="Times New Roman" w:cs="Times New Roman"/>
          <w:sz w:val="24"/>
          <w:szCs w:val="24"/>
        </w:rPr>
        <w:t xml:space="preserve">, </w:t>
      </w:r>
      <w:r>
        <w:rPr>
          <w:rFonts w:ascii="Times New Roman" w:hAnsi="Times New Roman" w:cs="Times New Roman"/>
          <w:sz w:val="24"/>
          <w:szCs w:val="24"/>
          <w:u w:val="single"/>
        </w:rPr>
        <w:t>Probst L</w:t>
      </w:r>
    </w:p>
    <w:p w14:paraId="5C3D690B" w14:textId="77777777" w:rsidR="003D584E" w:rsidRDefault="003D584E" w:rsidP="003D584E">
      <w:pPr>
        <w:rPr>
          <w:rFonts w:ascii="Times New Roman" w:hAnsi="Times New Roman" w:cs="Times New Roman"/>
          <w:sz w:val="24"/>
          <w:szCs w:val="24"/>
        </w:rPr>
      </w:pPr>
      <w:r>
        <w:rPr>
          <w:rFonts w:ascii="Times New Roman" w:hAnsi="Times New Roman" w:cs="Times New Roman"/>
          <w:sz w:val="24"/>
          <w:szCs w:val="24"/>
        </w:rPr>
        <w:t>Upstate University Hospital, 750 East Adams Street, Syracuse, NY 13210</w:t>
      </w:r>
    </w:p>
    <w:p w14:paraId="3AF3AA4E" w14:textId="77777777" w:rsidR="003D584E" w:rsidRDefault="003D584E" w:rsidP="003D584E">
      <w:pPr>
        <w:rPr>
          <w:rFonts w:ascii="Times New Roman" w:hAnsi="Times New Roman" w:cs="Times New Roman"/>
          <w:sz w:val="24"/>
          <w:szCs w:val="24"/>
        </w:rPr>
      </w:pPr>
    </w:p>
    <w:p w14:paraId="30D94DF9" w14:textId="77777777" w:rsidR="003D584E" w:rsidRDefault="003D584E" w:rsidP="003D584E">
      <w:pPr>
        <w:rPr>
          <w:rFonts w:ascii="Times New Roman" w:hAnsi="Times New Roman" w:cs="Times New Roman"/>
          <w:sz w:val="24"/>
          <w:szCs w:val="24"/>
        </w:rPr>
      </w:pPr>
      <w:r>
        <w:rPr>
          <w:rFonts w:ascii="Times New Roman" w:hAnsi="Times New Roman" w:cs="Times New Roman"/>
          <w:b/>
          <w:sz w:val="24"/>
          <w:szCs w:val="24"/>
        </w:rPr>
        <w:t>Background</w:t>
      </w:r>
      <w:r>
        <w:rPr>
          <w:rFonts w:ascii="Times New Roman" w:hAnsi="Times New Roman" w:cs="Times New Roman"/>
          <w:sz w:val="24"/>
          <w:szCs w:val="24"/>
        </w:rPr>
        <w:t>: With growing use of direct oral anticoagulants (DOACs), it is increasingly important to determine an optimal transition plan between these therapies and unfractionated heparin (UFH) infusions upon or during hospital admissions. Many institutions utilize UFH-anti-factor Xa (AFXa) levels to monitor and adjust UFH infusions. Oral factor-Xa inhibitors such as apixaban and rivaroxaban interfere with and may cause elevated UFH-AFXa levels. This interaction limits the ability to accurately monitor the effects of UFH when utilizing UFH-AFXa levels, and may lead to unnecessary delays or interruptions in UFH therapy. Conversely, there is concern for increased bleeding risk in patients receiving heparinoid medications in the setting of elevated UFH-AFXa levels due to recent factor-Xa inhibitor use. Given the lack of guidance for monitoring UFH therapy and interpreting elevated UFH-AFXa levels during this transition period, it is unclear how institutions are currently handling this situation.</w:t>
      </w:r>
    </w:p>
    <w:p w14:paraId="1B9128EB" w14:textId="77777777" w:rsidR="003D584E" w:rsidRDefault="003D584E" w:rsidP="003D584E">
      <w:pPr>
        <w:rPr>
          <w:rFonts w:ascii="Times New Roman" w:hAnsi="Times New Roman" w:cs="Times New Roman"/>
          <w:sz w:val="24"/>
          <w:szCs w:val="24"/>
        </w:rPr>
      </w:pPr>
      <w:r>
        <w:rPr>
          <w:rFonts w:ascii="Times New Roman" w:hAnsi="Times New Roman" w:cs="Times New Roman"/>
          <w:b/>
          <w:sz w:val="24"/>
          <w:szCs w:val="24"/>
        </w:rPr>
        <w:t>Objective</w:t>
      </w:r>
      <w:r>
        <w:rPr>
          <w:rFonts w:ascii="Times New Roman" w:hAnsi="Times New Roman" w:cs="Times New Roman"/>
          <w:sz w:val="24"/>
          <w:szCs w:val="24"/>
        </w:rPr>
        <w:t>: Characterize monitoring practices among United States (US)-based academic medical centers when transitioning patients from oral factor-Xa inhibitors (apixaban, rivaroxaban) to UFH infusion therapy and to assess pharmacist impression of its clinical significance and the effectiveness of their institutional approach.</w:t>
      </w:r>
    </w:p>
    <w:p w14:paraId="2ADB8295" w14:textId="77777777" w:rsidR="003D584E" w:rsidRDefault="003D584E" w:rsidP="003D584E">
      <w:pPr>
        <w:rPr>
          <w:rFonts w:ascii="Times New Roman" w:hAnsi="Times New Roman" w:cs="Times New Roman"/>
          <w:sz w:val="24"/>
          <w:szCs w:val="24"/>
        </w:rPr>
      </w:pPr>
      <w:r>
        <w:rPr>
          <w:rFonts w:ascii="Times New Roman" w:hAnsi="Times New Roman" w:cs="Times New Roman"/>
          <w:b/>
          <w:sz w:val="24"/>
          <w:szCs w:val="24"/>
        </w:rPr>
        <w:t>Methods</w:t>
      </w:r>
      <w:r>
        <w:rPr>
          <w:rFonts w:ascii="Times New Roman" w:hAnsi="Times New Roman" w:cs="Times New Roman"/>
          <w:sz w:val="24"/>
          <w:szCs w:val="24"/>
        </w:rPr>
        <w:t>: This is a national, cross-sectional, 37-item electronic survey distributed to academic medical centers within the Vizient University Health System Consortium Pharmacy Network.</w:t>
      </w:r>
    </w:p>
    <w:p w14:paraId="422D6558" w14:textId="77777777" w:rsidR="003D584E" w:rsidRDefault="003D584E" w:rsidP="003D584E">
      <w:pPr>
        <w:rPr>
          <w:rFonts w:ascii="Times New Roman" w:hAnsi="Times New Roman" w:cs="Times New Roman"/>
          <w:sz w:val="24"/>
          <w:szCs w:val="24"/>
        </w:rPr>
      </w:pPr>
      <w:r>
        <w:rPr>
          <w:rFonts w:ascii="Times New Roman" w:hAnsi="Times New Roman" w:cs="Times New Roman"/>
          <w:b/>
          <w:sz w:val="24"/>
          <w:szCs w:val="24"/>
        </w:rPr>
        <w:t>Results</w:t>
      </w:r>
      <w:r>
        <w:rPr>
          <w:rFonts w:ascii="Times New Roman" w:hAnsi="Times New Roman" w:cs="Times New Roman"/>
          <w:sz w:val="24"/>
          <w:szCs w:val="24"/>
        </w:rPr>
        <w:t>: The response rate for this survey is 10.3% (13/126). Participant responses and data analysis is ongoing and a full compilation of the results will be presented at the Residency Research and Practice Forum.</w:t>
      </w:r>
    </w:p>
    <w:p w14:paraId="6295CB4A" w14:textId="77777777" w:rsidR="003D584E" w:rsidRDefault="003D584E" w:rsidP="003D584E">
      <w:pPr>
        <w:rPr>
          <w:rFonts w:ascii="Times New Roman" w:hAnsi="Times New Roman" w:cs="Times New Roman"/>
          <w:sz w:val="24"/>
          <w:szCs w:val="24"/>
        </w:rPr>
      </w:pPr>
      <w:r>
        <w:rPr>
          <w:rFonts w:ascii="Times New Roman" w:hAnsi="Times New Roman" w:cs="Times New Roman"/>
          <w:b/>
          <w:sz w:val="24"/>
          <w:szCs w:val="24"/>
        </w:rPr>
        <w:t>Conclusions</w:t>
      </w:r>
      <w:r>
        <w:rPr>
          <w:rFonts w:ascii="Times New Roman" w:hAnsi="Times New Roman" w:cs="Times New Roman"/>
          <w:sz w:val="24"/>
          <w:szCs w:val="24"/>
        </w:rPr>
        <w:t>: Data collection is in process and final results are pending.</w:t>
      </w:r>
    </w:p>
    <w:p w14:paraId="3B33F0CB" w14:textId="27A4CC6C" w:rsidR="003D584E" w:rsidRDefault="003D584E" w:rsidP="0007657F">
      <w:pPr>
        <w:rPr>
          <w:sz w:val="24"/>
          <w:szCs w:val="24"/>
        </w:rPr>
      </w:pPr>
    </w:p>
    <w:p w14:paraId="78430C58" w14:textId="3F3D8641" w:rsidR="003D584E" w:rsidRDefault="003D584E" w:rsidP="0007657F">
      <w:pPr>
        <w:rPr>
          <w:sz w:val="24"/>
          <w:szCs w:val="24"/>
        </w:rPr>
      </w:pPr>
    </w:p>
    <w:p w14:paraId="36542FE0" w14:textId="56BD6A0F" w:rsidR="003D584E" w:rsidRDefault="003D584E" w:rsidP="0007657F">
      <w:pPr>
        <w:rPr>
          <w:sz w:val="24"/>
          <w:szCs w:val="24"/>
        </w:rPr>
      </w:pPr>
    </w:p>
    <w:p w14:paraId="3B9A9871" w14:textId="34D6FC78" w:rsidR="003D584E" w:rsidRDefault="003D584E" w:rsidP="0007657F">
      <w:pPr>
        <w:rPr>
          <w:sz w:val="24"/>
          <w:szCs w:val="24"/>
        </w:rPr>
      </w:pPr>
    </w:p>
    <w:p w14:paraId="36A06422" w14:textId="422E2C57" w:rsidR="003D584E" w:rsidRDefault="003D584E" w:rsidP="0007657F">
      <w:pPr>
        <w:rPr>
          <w:sz w:val="24"/>
          <w:szCs w:val="24"/>
        </w:rPr>
      </w:pPr>
    </w:p>
    <w:p w14:paraId="0067E418" w14:textId="2CA62212" w:rsidR="003D584E" w:rsidRDefault="003D584E" w:rsidP="0007657F">
      <w:pPr>
        <w:rPr>
          <w:sz w:val="24"/>
          <w:szCs w:val="24"/>
        </w:rPr>
      </w:pPr>
    </w:p>
    <w:p w14:paraId="2E8DFEAB" w14:textId="186FB83F" w:rsidR="003D584E" w:rsidRDefault="003D584E" w:rsidP="0007657F">
      <w:pPr>
        <w:rPr>
          <w:sz w:val="24"/>
          <w:szCs w:val="24"/>
        </w:rPr>
      </w:pPr>
    </w:p>
    <w:p w14:paraId="2A624DE5" w14:textId="77777777" w:rsidR="003D584E" w:rsidRDefault="003D584E" w:rsidP="003D584E">
      <w:pPr>
        <w:pStyle w:val="NormalWeb"/>
        <w:spacing w:before="0" w:beforeAutospacing="0" w:after="0" w:afterAutospacing="0"/>
        <w:rPr>
          <w:rStyle w:val="Strong"/>
          <w:color w:val="0E101A"/>
        </w:rPr>
      </w:pPr>
      <w:r>
        <w:rPr>
          <w:rStyle w:val="Strong"/>
          <w:color w:val="0E101A"/>
        </w:rPr>
        <w:lastRenderedPageBreak/>
        <w:t>PILOT STUDY: PHARMACY-DRIVEN TRANSITIONS OF CARE PROGRAM IN A COMMUNITY HOSPITAL WITH A FOCUS ON MEDICATION RECONCILIATIONS</w:t>
      </w:r>
    </w:p>
    <w:p w14:paraId="185306D0" w14:textId="77777777" w:rsidR="003D584E" w:rsidRDefault="003D584E" w:rsidP="003D584E">
      <w:pPr>
        <w:pStyle w:val="NormalWeb"/>
        <w:spacing w:before="0" w:beforeAutospacing="0" w:after="0" w:afterAutospacing="0"/>
        <w:rPr>
          <w:rStyle w:val="Strong"/>
          <w:color w:val="0E101A"/>
        </w:rPr>
      </w:pPr>
    </w:p>
    <w:p w14:paraId="44390B04" w14:textId="77777777" w:rsidR="003D584E" w:rsidRDefault="003D584E" w:rsidP="003D584E">
      <w:pPr>
        <w:pStyle w:val="NormalWeb"/>
        <w:spacing w:before="0" w:beforeAutospacing="0" w:after="0" w:afterAutospacing="0"/>
        <w:rPr>
          <w:rStyle w:val="Strong"/>
          <w:b w:val="0"/>
          <w:color w:val="0E101A"/>
          <w:u w:val="single"/>
        </w:rPr>
      </w:pPr>
      <w:r>
        <w:rPr>
          <w:rStyle w:val="Strong"/>
          <w:b w:val="0"/>
          <w:color w:val="0E101A"/>
          <w:u w:val="single"/>
        </w:rPr>
        <w:t>Sassila A</w:t>
      </w:r>
      <w:r>
        <w:rPr>
          <w:rStyle w:val="Strong"/>
          <w:b w:val="0"/>
          <w:color w:val="0E101A"/>
        </w:rPr>
        <w:t xml:space="preserve">*, </w:t>
      </w:r>
      <w:r>
        <w:rPr>
          <w:rStyle w:val="Strong"/>
          <w:b w:val="0"/>
          <w:color w:val="0E101A"/>
          <w:u w:val="single"/>
        </w:rPr>
        <w:t>Khaytin A</w:t>
      </w:r>
      <w:r>
        <w:rPr>
          <w:rStyle w:val="Strong"/>
          <w:b w:val="0"/>
          <w:color w:val="0E101A"/>
        </w:rPr>
        <w:t xml:space="preserve">, </w:t>
      </w:r>
      <w:r>
        <w:rPr>
          <w:rStyle w:val="Strong"/>
          <w:b w:val="0"/>
          <w:color w:val="0E101A"/>
          <w:u w:val="single"/>
        </w:rPr>
        <w:t>Mathew A</w:t>
      </w:r>
    </w:p>
    <w:p w14:paraId="5B686DCC" w14:textId="77777777" w:rsidR="003D584E" w:rsidRDefault="003D584E" w:rsidP="003D584E">
      <w:pPr>
        <w:pStyle w:val="NormalWeb"/>
        <w:spacing w:before="0" w:beforeAutospacing="0" w:after="0" w:afterAutospacing="0"/>
        <w:rPr>
          <w:rStyle w:val="Strong"/>
          <w:b w:val="0"/>
          <w:color w:val="0E101A"/>
        </w:rPr>
      </w:pPr>
    </w:p>
    <w:p w14:paraId="504900AD" w14:textId="77777777" w:rsidR="003D584E" w:rsidRDefault="003D584E" w:rsidP="003D584E">
      <w:pPr>
        <w:pStyle w:val="NormalWeb"/>
        <w:spacing w:before="0" w:beforeAutospacing="0" w:after="0" w:afterAutospacing="0"/>
        <w:rPr>
          <w:rStyle w:val="Strong"/>
          <w:b w:val="0"/>
          <w:color w:val="0E101A"/>
        </w:rPr>
      </w:pPr>
      <w:r>
        <w:rPr>
          <w:rStyle w:val="Strong"/>
          <w:b w:val="0"/>
          <w:color w:val="0E101A"/>
        </w:rPr>
        <w:t>Mount Sinai Brooklyn, 3201 Kings Hwy, Brooklyn, NY 11234</w:t>
      </w:r>
    </w:p>
    <w:p w14:paraId="1BABD753" w14:textId="77777777" w:rsidR="003D584E" w:rsidRDefault="003D584E" w:rsidP="003D584E">
      <w:pPr>
        <w:pStyle w:val="NormalWeb"/>
        <w:spacing w:before="0" w:beforeAutospacing="0" w:after="0" w:afterAutospacing="0"/>
        <w:rPr>
          <w:rStyle w:val="Strong"/>
          <w:color w:val="0E101A"/>
        </w:rPr>
      </w:pPr>
    </w:p>
    <w:p w14:paraId="2A7042E7" w14:textId="77777777" w:rsidR="003D584E" w:rsidRDefault="003D584E" w:rsidP="003D584E">
      <w:pPr>
        <w:pStyle w:val="NormalWeb"/>
        <w:spacing w:before="0" w:beforeAutospacing="0" w:after="0" w:afterAutospacing="0"/>
      </w:pPr>
      <w:r>
        <w:rPr>
          <w:rStyle w:val="Strong"/>
          <w:color w:val="0E101A"/>
        </w:rPr>
        <w:t>Introduction:</w:t>
      </w:r>
      <w:r>
        <w:rPr>
          <w:color w:val="0E101A"/>
        </w:rPr>
        <w:t xml:space="preserve"> A pharmacist’s role throughout transitions of care involves reconciling patient’s medications, providing discharge counseling, and ensuring a continuum of care post-discharge. Part of a patient’s initial workup is to reconcile patient’s home medications. Medication reconciliations are obtained on admission to ensure the continuum of care and correct any underlying problems caused by medications. Currently, at our hospital, there is no existing transitions of care program. </w:t>
      </w:r>
    </w:p>
    <w:p w14:paraId="2FC350CA" w14:textId="77777777" w:rsidR="003D584E" w:rsidRDefault="003D584E" w:rsidP="003D584E">
      <w:pPr>
        <w:pStyle w:val="NormalWeb"/>
        <w:spacing w:before="0" w:beforeAutospacing="0" w:after="0" w:afterAutospacing="0"/>
        <w:rPr>
          <w:b/>
          <w:color w:val="0E101A"/>
        </w:rPr>
      </w:pPr>
    </w:p>
    <w:p w14:paraId="72FF2A0D" w14:textId="77777777" w:rsidR="003D584E" w:rsidRDefault="003D584E" w:rsidP="003D584E">
      <w:pPr>
        <w:pStyle w:val="NormalWeb"/>
        <w:spacing w:before="0" w:beforeAutospacing="0" w:after="0" w:afterAutospacing="0"/>
        <w:rPr>
          <w:color w:val="0E101A"/>
        </w:rPr>
      </w:pPr>
      <w:r>
        <w:rPr>
          <w:b/>
          <w:color w:val="0E101A"/>
        </w:rPr>
        <w:t xml:space="preserve">Objective: </w:t>
      </w:r>
      <w:r>
        <w:rPr>
          <w:color w:val="0E101A"/>
        </w:rPr>
        <w:t>The primary objective will measure the value of a transitions of care program in a community hospital. The following data will highlight the gaps in the transitions of care process in our hospital.</w:t>
      </w:r>
    </w:p>
    <w:p w14:paraId="41FD184D" w14:textId="77777777" w:rsidR="003D584E" w:rsidRPr="003D584E" w:rsidRDefault="003D584E" w:rsidP="003D584E">
      <w:pPr>
        <w:pStyle w:val="NormalWeb"/>
        <w:spacing w:before="0" w:beforeAutospacing="0" w:after="0" w:afterAutospacing="0"/>
        <w:rPr>
          <w:color w:val="0E101A"/>
        </w:rPr>
      </w:pPr>
    </w:p>
    <w:p w14:paraId="259A2B40" w14:textId="77777777" w:rsidR="003D584E" w:rsidRPr="003D584E" w:rsidRDefault="003D584E" w:rsidP="003D584E">
      <w:pPr>
        <w:pStyle w:val="NormalWeb"/>
        <w:spacing w:before="0" w:beforeAutospacing="0" w:after="0" w:afterAutospacing="0"/>
        <w:rPr>
          <w:color w:val="0E101A"/>
        </w:rPr>
      </w:pPr>
      <w:r w:rsidRPr="003D584E">
        <w:rPr>
          <w:rStyle w:val="Strong"/>
          <w:color w:val="0E101A"/>
        </w:rPr>
        <w:t xml:space="preserve">Methods: </w:t>
      </w:r>
      <w:r w:rsidRPr="003D584E">
        <w:rPr>
          <w:color w:val="0E101A"/>
        </w:rPr>
        <w:t xml:space="preserve">This study has been designed to focus on the patients’ admission process with respect to medication reconciliations. Pharmacist interventions will be quantified by the following endpoints for each medication reconciliation in all eligible patients: additions, modifications, and deletions to therapy (i.e. disease-states without treatment, medications prescribed without an indication, and duplicate therapy). </w:t>
      </w:r>
    </w:p>
    <w:p w14:paraId="2679F198" w14:textId="77777777" w:rsidR="003D584E" w:rsidRPr="003D584E" w:rsidRDefault="003D584E" w:rsidP="003D584E">
      <w:pPr>
        <w:pStyle w:val="NormalWeb"/>
        <w:spacing w:before="0" w:beforeAutospacing="0" w:after="0" w:afterAutospacing="0"/>
        <w:rPr>
          <w:rStyle w:val="Strong"/>
          <w:b w:val="0"/>
          <w:bCs w:val="0"/>
        </w:rPr>
      </w:pPr>
    </w:p>
    <w:p w14:paraId="2F3628AA" w14:textId="77777777" w:rsidR="003D584E" w:rsidRPr="003D584E" w:rsidRDefault="003D584E" w:rsidP="003D584E">
      <w:pPr>
        <w:spacing w:line="240" w:lineRule="auto"/>
        <w:rPr>
          <w:rStyle w:val="Strong"/>
          <w:rFonts w:ascii="Times New Roman" w:eastAsia="Times New Roman" w:hAnsi="Times New Roman" w:cs="Times New Roman"/>
          <w:b w:val="0"/>
          <w:i/>
          <w:color w:val="0E101A"/>
          <w:sz w:val="24"/>
          <w:szCs w:val="24"/>
        </w:rPr>
      </w:pPr>
      <w:r w:rsidRPr="003D584E">
        <w:rPr>
          <w:rStyle w:val="Strong"/>
          <w:rFonts w:ascii="Times New Roman" w:eastAsia="Times New Roman" w:hAnsi="Times New Roman" w:cs="Times New Roman"/>
          <w:color w:val="0E101A"/>
          <w:sz w:val="24"/>
          <w:szCs w:val="24"/>
        </w:rPr>
        <w:t xml:space="preserve">Results: </w:t>
      </w:r>
      <w:r w:rsidRPr="003D584E">
        <w:rPr>
          <w:rStyle w:val="Strong"/>
          <w:rFonts w:ascii="Times New Roman" w:eastAsia="Times New Roman" w:hAnsi="Times New Roman" w:cs="Times New Roman"/>
          <w:b w:val="0"/>
          <w:i/>
          <w:color w:val="0E101A"/>
          <w:sz w:val="24"/>
          <w:szCs w:val="24"/>
        </w:rPr>
        <w:t>in progress</w:t>
      </w:r>
    </w:p>
    <w:p w14:paraId="4BC2D06F" w14:textId="4C3B5F60" w:rsidR="003D584E" w:rsidRDefault="003D584E" w:rsidP="003D584E">
      <w:pPr>
        <w:spacing w:line="240" w:lineRule="auto"/>
        <w:rPr>
          <w:rStyle w:val="Strong"/>
          <w:rFonts w:ascii="Times New Roman" w:eastAsia="Times New Roman" w:hAnsi="Times New Roman" w:cs="Times New Roman"/>
          <w:b w:val="0"/>
          <w:i/>
          <w:color w:val="0E101A"/>
          <w:sz w:val="24"/>
          <w:szCs w:val="24"/>
        </w:rPr>
      </w:pPr>
      <w:r w:rsidRPr="003D584E">
        <w:rPr>
          <w:rStyle w:val="Strong"/>
          <w:rFonts w:ascii="Times New Roman" w:eastAsia="Times New Roman" w:hAnsi="Times New Roman" w:cs="Times New Roman"/>
          <w:color w:val="0E101A"/>
          <w:sz w:val="24"/>
          <w:szCs w:val="24"/>
        </w:rPr>
        <w:t xml:space="preserve">Conclusion: </w:t>
      </w:r>
      <w:r w:rsidRPr="003D584E">
        <w:rPr>
          <w:rStyle w:val="Strong"/>
          <w:rFonts w:ascii="Times New Roman" w:eastAsia="Times New Roman" w:hAnsi="Times New Roman" w:cs="Times New Roman"/>
          <w:b w:val="0"/>
          <w:i/>
          <w:color w:val="0E101A"/>
          <w:sz w:val="24"/>
          <w:szCs w:val="24"/>
        </w:rPr>
        <w:t>in progress</w:t>
      </w:r>
    </w:p>
    <w:p w14:paraId="1CC6CBA1" w14:textId="117EAC98"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43AFF32C" w14:textId="5010C26A"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2DFF37C6" w14:textId="330B638C"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56F6C9AD" w14:textId="54A3C731"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2A1D785F" w14:textId="479F989F"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50AEE9DF" w14:textId="614EEF3E"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2C3D188F" w14:textId="3EE3E32B"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478EAB75" w14:textId="4754823E"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10155D18" w14:textId="1EA109A8"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22FC44C1" w14:textId="42E667F8"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1C2F765A" w14:textId="63DC2BB1"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10850CB4" w14:textId="5B452257"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679199B8" w14:textId="77777777" w:rsidR="003D584E" w:rsidRDefault="003D584E" w:rsidP="003D584E">
      <w:pPr>
        <w:rPr>
          <w:rFonts w:ascii="Times New Roman" w:hAnsi="Times New Roman" w:cs="Times New Roman"/>
          <w:bCs/>
          <w:sz w:val="24"/>
          <w:szCs w:val="24"/>
        </w:rPr>
      </w:pPr>
      <w:r>
        <w:rPr>
          <w:rFonts w:ascii="Times New Roman" w:hAnsi="Times New Roman" w:cs="Times New Roman"/>
          <w:bCs/>
          <w:sz w:val="24"/>
          <w:szCs w:val="24"/>
        </w:rPr>
        <w:lastRenderedPageBreak/>
        <w:t>IDENTIFYING PRESCRIBING PATTERNS OF DIABETES MEDICATIONS AMONG PHARMACISTS AND PRIMARY CARE PROVIDERS: A FOCUS ON GLP-1 RECEPTOR AGONISTS AND SGLT-2 INHIBITORS</w:t>
      </w:r>
    </w:p>
    <w:p w14:paraId="57C31324" w14:textId="77777777" w:rsidR="003D584E" w:rsidRDefault="003D584E" w:rsidP="003D584E">
      <w:pPr>
        <w:rPr>
          <w:rFonts w:ascii="Times New Roman" w:hAnsi="Times New Roman" w:cs="Times New Roman"/>
          <w:bCs/>
          <w:sz w:val="24"/>
          <w:szCs w:val="24"/>
        </w:rPr>
      </w:pPr>
      <w:r>
        <w:rPr>
          <w:rFonts w:ascii="Times New Roman" w:hAnsi="Times New Roman" w:cs="Times New Roman"/>
          <w:bCs/>
          <w:sz w:val="24"/>
          <w:szCs w:val="24"/>
          <w:u w:val="single"/>
        </w:rPr>
        <w:t>Shtoyko A</w:t>
      </w:r>
      <w:r>
        <w:rPr>
          <w:rFonts w:ascii="Times New Roman" w:hAnsi="Times New Roman" w:cs="Times New Roman"/>
          <w:bCs/>
          <w:sz w:val="24"/>
          <w:szCs w:val="24"/>
        </w:rPr>
        <w:t xml:space="preserve">*, </w:t>
      </w:r>
      <w:r>
        <w:rPr>
          <w:rFonts w:ascii="Times New Roman" w:hAnsi="Times New Roman" w:cs="Times New Roman"/>
          <w:bCs/>
          <w:sz w:val="24"/>
          <w:szCs w:val="24"/>
          <w:u w:val="single"/>
        </w:rPr>
        <w:t>Harris J</w:t>
      </w:r>
      <w:r>
        <w:rPr>
          <w:rFonts w:ascii="Times New Roman" w:hAnsi="Times New Roman" w:cs="Times New Roman"/>
          <w:bCs/>
          <w:sz w:val="24"/>
          <w:szCs w:val="24"/>
        </w:rPr>
        <w:t xml:space="preserve">, </w:t>
      </w:r>
      <w:r>
        <w:rPr>
          <w:rFonts w:ascii="Times New Roman" w:hAnsi="Times New Roman" w:cs="Times New Roman"/>
          <w:bCs/>
          <w:sz w:val="24"/>
          <w:szCs w:val="24"/>
          <w:u w:val="single"/>
        </w:rPr>
        <w:t>Murphy M</w:t>
      </w:r>
      <w:r>
        <w:rPr>
          <w:rFonts w:ascii="Times New Roman" w:hAnsi="Times New Roman" w:cs="Times New Roman"/>
          <w:bCs/>
          <w:sz w:val="24"/>
          <w:szCs w:val="24"/>
        </w:rPr>
        <w:t xml:space="preserve">, </w:t>
      </w:r>
      <w:r>
        <w:rPr>
          <w:rFonts w:ascii="Times New Roman" w:hAnsi="Times New Roman" w:cs="Times New Roman"/>
          <w:bCs/>
          <w:sz w:val="24"/>
          <w:szCs w:val="24"/>
          <w:u w:val="single"/>
        </w:rPr>
        <w:t>Conn K</w:t>
      </w:r>
      <w:r>
        <w:rPr>
          <w:rFonts w:ascii="Times New Roman" w:hAnsi="Times New Roman" w:cs="Times New Roman"/>
          <w:bCs/>
          <w:sz w:val="24"/>
          <w:szCs w:val="24"/>
        </w:rPr>
        <w:t xml:space="preserve">, </w:t>
      </w:r>
      <w:r>
        <w:rPr>
          <w:rFonts w:ascii="Times New Roman" w:hAnsi="Times New Roman" w:cs="Times New Roman"/>
          <w:bCs/>
          <w:sz w:val="24"/>
          <w:szCs w:val="24"/>
          <w:u w:val="single"/>
        </w:rPr>
        <w:t>Phillips E</w:t>
      </w:r>
    </w:p>
    <w:p w14:paraId="71C22A1C" w14:textId="77777777" w:rsidR="003D584E" w:rsidRDefault="003D584E" w:rsidP="003D584E">
      <w:pPr>
        <w:rPr>
          <w:rFonts w:ascii="Times New Roman" w:hAnsi="Times New Roman" w:cs="Times New Roman"/>
          <w:bCs/>
          <w:sz w:val="24"/>
          <w:szCs w:val="24"/>
        </w:rPr>
      </w:pPr>
      <w:r>
        <w:rPr>
          <w:rFonts w:ascii="Times New Roman" w:hAnsi="Times New Roman" w:cs="Times New Roman"/>
          <w:bCs/>
          <w:sz w:val="24"/>
          <w:szCs w:val="24"/>
        </w:rPr>
        <w:t>Upstate University Hospital – Upstate Health Care Center, 90 Presidential Plaza, Syracuse, NY 13202</w:t>
      </w:r>
    </w:p>
    <w:p w14:paraId="40D672CD" w14:textId="77777777" w:rsidR="003D584E" w:rsidRDefault="003D584E" w:rsidP="003D584E">
      <w:pPr>
        <w:rPr>
          <w:rFonts w:ascii="Calibri" w:hAnsi="Calibri" w:cs="Calibri"/>
        </w:rPr>
      </w:pPr>
    </w:p>
    <w:p w14:paraId="7DFEFB69" w14:textId="77777777" w:rsidR="003D584E" w:rsidRDefault="003D584E" w:rsidP="003D584E">
      <w:pPr>
        <w:rPr>
          <w:rFonts w:ascii="Times New Roman" w:hAnsi="Times New Roman" w:cs="Times New Roman"/>
          <w:b/>
          <w:bCs/>
          <w:sz w:val="24"/>
          <w:szCs w:val="24"/>
        </w:rPr>
      </w:pPr>
      <w:r>
        <w:rPr>
          <w:rFonts w:ascii="Times New Roman" w:hAnsi="Times New Roman" w:cs="Times New Roman"/>
          <w:b/>
          <w:bCs/>
          <w:sz w:val="24"/>
          <w:szCs w:val="24"/>
        </w:rPr>
        <w:t xml:space="preserve">Background: </w:t>
      </w:r>
      <w:r>
        <w:rPr>
          <w:rFonts w:ascii="Times New Roman" w:hAnsi="Times New Roman" w:cs="Times New Roman"/>
          <w:sz w:val="24"/>
          <w:szCs w:val="24"/>
        </w:rPr>
        <w:t xml:space="preserve">Uncontrolled type 2 diabetes mellitus (T2DM) can lead to microvascular and macrovascular complications including atherosclerotic cardiovascular disease (ASCVD), heart failure, and diabetic kidney disease. Recent evidence has shown that </w:t>
      </w:r>
      <w:r>
        <w:rPr>
          <w:rFonts w:ascii="Times New Roman" w:hAnsi="Times New Roman" w:cs="Times New Roman"/>
          <w:color w:val="000000"/>
          <w:sz w:val="24"/>
          <w:szCs w:val="24"/>
        </w:rPr>
        <w:t>glucagon like peptide-1 receptor agonists (GLP-1 RA) and sodium glucose transporter-2 (SGLT-2) inhibitors have beneficial effects in T2DM patients with ASCVD, chronic kidney disease (CKD), and heart failure with reduced ejection fraction (HFrEF). This has prompted a change in prescribing guidelines, which now indicate that these agents should now be considered irrespective of current hemoglobin A1c. With these updated guidelines, evaluation of the current prescribing patterns at our adult medicine clinic is warranted.</w:t>
      </w:r>
    </w:p>
    <w:p w14:paraId="39FFDC49" w14:textId="77777777" w:rsidR="003D584E" w:rsidRDefault="003D584E" w:rsidP="003D584E">
      <w:pPr>
        <w:rPr>
          <w:rFonts w:ascii="Times New Roman" w:hAnsi="Times New Roman" w:cs="Times New Roman"/>
          <w:sz w:val="24"/>
          <w:szCs w:val="24"/>
        </w:rPr>
      </w:pPr>
      <w:r>
        <w:rPr>
          <w:rFonts w:ascii="Times New Roman" w:hAnsi="Times New Roman" w:cs="Times New Roman"/>
          <w:b/>
          <w:bCs/>
          <w:sz w:val="24"/>
          <w:szCs w:val="24"/>
        </w:rPr>
        <w:t>Objective:</w:t>
      </w:r>
      <w:r>
        <w:rPr>
          <w:rFonts w:ascii="Times New Roman" w:hAnsi="Times New Roman" w:cs="Times New Roman"/>
          <w:sz w:val="24"/>
          <w:szCs w:val="24"/>
        </w:rPr>
        <w:t xml:space="preserve"> The primary outcome is to quantify the number of patients prescribed a GLP-1 RA or SGLT-2 inhibitor for T2DM based on cardiovascular and renal comorbidities. Secondary outcomes will include quantifying GLP-1 RA or SGLT-2 inhibitor use in comorbid conditions by pharmacists versus primary care providers (PCP) alone, patients with compelling reasons against use of these agents, and patients using these agents for primary versus secondary prevention of ASCVD.</w:t>
      </w:r>
    </w:p>
    <w:p w14:paraId="27B2C126" w14:textId="77777777" w:rsidR="003D584E" w:rsidRDefault="003D584E" w:rsidP="003D584E">
      <w:pPr>
        <w:rPr>
          <w:rFonts w:ascii="Times New Roman" w:hAnsi="Times New Roman" w:cs="Times New Roman"/>
          <w:sz w:val="24"/>
          <w:szCs w:val="24"/>
        </w:rPr>
      </w:pPr>
      <w:r>
        <w:rPr>
          <w:rFonts w:ascii="Times New Roman" w:hAnsi="Times New Roman" w:cs="Times New Roman"/>
          <w:b/>
          <w:bCs/>
          <w:sz w:val="24"/>
          <w:szCs w:val="24"/>
        </w:rPr>
        <w:t>Methods:</w:t>
      </w:r>
      <w:r>
        <w:rPr>
          <w:rFonts w:ascii="Times New Roman" w:hAnsi="Times New Roman" w:cs="Times New Roman"/>
          <w:color w:val="000000"/>
          <w:sz w:val="24"/>
          <w:szCs w:val="24"/>
        </w:rPr>
        <w:t xml:space="preserve"> This is a retrospective, single-center, chart review of adult medicine patients with T2DM followed by pharmacists or their PCP alone from December 1, 2019 through February 29, 2020. Patients on dialysis, followed by endocrinology, with type 1 diabetes, or who are pregnant are excluded. </w:t>
      </w:r>
      <w:r>
        <w:rPr>
          <w:rFonts w:ascii="Times New Roman" w:hAnsi="Times New Roman" w:cs="Times New Roman"/>
          <w:sz w:val="24"/>
          <w:szCs w:val="24"/>
        </w:rPr>
        <w:t xml:space="preserve">This project received exemption from the Upstate University Hospital Institutional Review Board. </w:t>
      </w:r>
      <w:r>
        <w:rPr>
          <w:rFonts w:ascii="Times New Roman" w:hAnsi="Times New Roman" w:cs="Times New Roman"/>
          <w:color w:val="000000"/>
          <w:sz w:val="24"/>
          <w:szCs w:val="24"/>
        </w:rPr>
        <w:t>Data will be presented using descriptive and inferential statistics.</w:t>
      </w:r>
    </w:p>
    <w:p w14:paraId="0FA8A679" w14:textId="77777777" w:rsidR="003D584E" w:rsidRDefault="003D584E" w:rsidP="003D584E">
      <w:pPr>
        <w:rPr>
          <w:rFonts w:ascii="Times New Roman" w:hAnsi="Times New Roman" w:cs="Times New Roman"/>
          <w:sz w:val="24"/>
          <w:szCs w:val="24"/>
        </w:rPr>
      </w:pPr>
      <w:r>
        <w:rPr>
          <w:rFonts w:ascii="Times New Roman" w:hAnsi="Times New Roman" w:cs="Times New Roman"/>
          <w:b/>
          <w:bCs/>
          <w:sz w:val="24"/>
          <w:szCs w:val="24"/>
        </w:rPr>
        <w:t>Results:</w:t>
      </w:r>
      <w:r>
        <w:rPr>
          <w:rFonts w:ascii="Times New Roman" w:hAnsi="Times New Roman" w:cs="Times New Roman"/>
          <w:sz w:val="24"/>
          <w:szCs w:val="24"/>
        </w:rPr>
        <w:t xml:space="preserve"> Pending</w:t>
      </w:r>
    </w:p>
    <w:p w14:paraId="5407375D" w14:textId="77777777" w:rsidR="003D584E" w:rsidRDefault="003D584E" w:rsidP="003D584E">
      <w:pPr>
        <w:rPr>
          <w:rFonts w:ascii="Times New Roman" w:hAnsi="Times New Roman" w:cs="Times New Roman"/>
          <w:sz w:val="24"/>
          <w:szCs w:val="24"/>
        </w:rPr>
      </w:pPr>
      <w:r>
        <w:rPr>
          <w:rFonts w:ascii="Times New Roman" w:hAnsi="Times New Roman" w:cs="Times New Roman"/>
          <w:b/>
          <w:bCs/>
          <w:sz w:val="24"/>
          <w:szCs w:val="24"/>
        </w:rPr>
        <w:t>Conclusions:</w:t>
      </w:r>
      <w:r>
        <w:rPr>
          <w:rFonts w:ascii="Times New Roman" w:hAnsi="Times New Roman" w:cs="Times New Roman"/>
          <w:sz w:val="24"/>
          <w:szCs w:val="24"/>
        </w:rPr>
        <w:t xml:space="preserve"> Pending</w:t>
      </w:r>
    </w:p>
    <w:p w14:paraId="0643525A" w14:textId="33E3C899"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449358F1" w14:textId="63C7FAB4"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09E9AD7A" w14:textId="64B0CBE1"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6D8A572B" w14:textId="6F3F040E"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5F8B7B9B" w14:textId="0511C028"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15055FA7" w14:textId="0A334816"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6C61333B" w14:textId="67F743F6"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11ABF9B1" w14:textId="77777777" w:rsidR="003D584E" w:rsidRDefault="003D584E" w:rsidP="003D584E">
      <w:pPr>
        <w:rPr>
          <w:rFonts w:ascii="Times New Roman" w:eastAsia="Times New Roman" w:hAnsi="Times New Roman" w:cs="Times New Roman"/>
          <w:color w:val="000000" w:themeColor="text1"/>
          <w:bdr w:val="none" w:sz="0" w:space="0" w:color="auto" w:frame="1"/>
        </w:rPr>
      </w:pPr>
      <w:r>
        <w:rPr>
          <w:rFonts w:ascii="Times New Roman" w:eastAsia="Times New Roman" w:hAnsi="Times New Roman" w:cs="Times New Roman"/>
          <w:color w:val="000000" w:themeColor="text1"/>
        </w:rPr>
        <w:lastRenderedPageBreak/>
        <w:t>EXPERIENCE WITH POST-OPERATIVE CUSTOMIZED FLUIDS IN PEDIATRIC CARDIAC PATIENTS</w:t>
      </w:r>
    </w:p>
    <w:p w14:paraId="0D96A663" w14:textId="77777777" w:rsidR="003D584E" w:rsidRDefault="003D584E" w:rsidP="003D584E">
      <w:pPr>
        <w:rPr>
          <w:rFonts w:ascii="Times New Roman" w:hAnsi="Times New Roman" w:cs="Times New Roman"/>
          <w:color w:val="000000" w:themeColor="text1"/>
        </w:rPr>
      </w:pPr>
    </w:p>
    <w:p w14:paraId="6779E872" w14:textId="77777777" w:rsidR="003D584E" w:rsidRDefault="003D584E" w:rsidP="003D584E">
      <w:pPr>
        <w:rPr>
          <w:rFonts w:ascii="Times New Roman" w:hAnsi="Times New Roman" w:cs="Times New Roman"/>
          <w:color w:val="000000" w:themeColor="text1"/>
        </w:rPr>
      </w:pPr>
      <w:r>
        <w:rPr>
          <w:rFonts w:ascii="Times New Roman" w:hAnsi="Times New Roman" w:cs="Times New Roman"/>
          <w:color w:val="000000" w:themeColor="text1"/>
        </w:rPr>
        <w:t>Teh D*, Mitchell-Van Steele A, Smith C, Sanchez J, Colon M</w:t>
      </w:r>
    </w:p>
    <w:p w14:paraId="4AD75E5E" w14:textId="77777777" w:rsidR="003D584E" w:rsidRDefault="003D584E" w:rsidP="003D584E">
      <w:pPr>
        <w:rPr>
          <w:rFonts w:ascii="Times New Roman" w:hAnsi="Times New Roman" w:cs="Times New Roman"/>
          <w:color w:val="000000" w:themeColor="text1"/>
        </w:rPr>
      </w:pPr>
    </w:p>
    <w:p w14:paraId="434C06C7" w14:textId="77777777" w:rsidR="003D584E" w:rsidRDefault="003D584E" w:rsidP="003D584E">
      <w:pPr>
        <w:rPr>
          <w:rFonts w:ascii="Times New Roman" w:eastAsia="Times New Roman" w:hAnsi="Times New Roman" w:cs="Times New Roman"/>
          <w:color w:val="000000" w:themeColor="text1"/>
        </w:rPr>
      </w:pPr>
      <w:r>
        <w:rPr>
          <w:rFonts w:ascii="Times New Roman" w:hAnsi="Times New Roman" w:cs="Times New Roman"/>
          <w:color w:val="000000" w:themeColor="text1"/>
        </w:rPr>
        <w:t xml:space="preserve">Albany Medical Center, </w:t>
      </w:r>
      <w:r>
        <w:rPr>
          <w:rFonts w:ascii="Times New Roman" w:eastAsia="Times New Roman" w:hAnsi="Times New Roman" w:cs="Times New Roman"/>
          <w:color w:val="000000" w:themeColor="text1"/>
          <w:shd w:val="clear" w:color="auto" w:fill="FFFFFF"/>
        </w:rPr>
        <w:t>3 New Scotland Ave, Albany, NY 12208</w:t>
      </w:r>
    </w:p>
    <w:p w14:paraId="56ACD6D6" w14:textId="77777777" w:rsidR="003D584E" w:rsidRDefault="003D584E" w:rsidP="003D584E">
      <w:pPr>
        <w:rPr>
          <w:rFonts w:ascii="Times New Roman" w:hAnsi="Times New Roman" w:cs="Times New Roman"/>
          <w:color w:val="000000" w:themeColor="text1"/>
        </w:rPr>
      </w:pPr>
    </w:p>
    <w:p w14:paraId="3FBAA1B7" w14:textId="77777777" w:rsidR="003D584E" w:rsidRDefault="003D584E" w:rsidP="003D584E">
      <w:pPr>
        <w:rPr>
          <w:rFonts w:ascii="Times New Roman" w:eastAsia="Times New Roman" w:hAnsi="Times New Roman" w:cs="Times New Roman"/>
          <w:color w:val="000000" w:themeColor="text1"/>
          <w:shd w:val="clear" w:color="auto" w:fill="FFFFFF"/>
        </w:rPr>
      </w:pPr>
      <w:r>
        <w:rPr>
          <w:rFonts w:ascii="Times New Roman" w:hAnsi="Times New Roman" w:cs="Times New Roman"/>
          <w:b/>
          <w:bCs/>
          <w:color w:val="000000" w:themeColor="text1"/>
        </w:rPr>
        <w:t xml:space="preserve">Background: </w:t>
      </w:r>
      <w:r>
        <w:rPr>
          <w:rFonts w:ascii="Times New Roman" w:hAnsi="Times New Roman" w:cs="Times New Roman"/>
          <w:color w:val="000000" w:themeColor="text1"/>
        </w:rPr>
        <w:t>Po</w:t>
      </w:r>
      <w:r>
        <w:rPr>
          <w:rFonts w:ascii="Times New Roman" w:eastAsia="Times New Roman" w:hAnsi="Times New Roman" w:cs="Times New Roman"/>
          <w:color w:val="000000" w:themeColor="text1"/>
          <w:shd w:val="clear" w:color="auto" w:fill="FFFFFF"/>
        </w:rPr>
        <w:t xml:space="preserve">stoperatively, pediatric cardiac patients receive commercially available intravenous fluids with fixed electrolyte concentrations and limited caloric content. Goal glucose infusion rates (GIR) of 6-8 mg/kg/min for patients &lt;5kg and 4-6 mg/kg/min for patients &gt;5kg are not accomplished with commercial fluids in these fluid restricted patients. Customized nutrition fluids address the limitations of commercially available fluid management. </w:t>
      </w:r>
    </w:p>
    <w:p w14:paraId="75DAB861" w14:textId="77777777" w:rsidR="003D584E" w:rsidRDefault="003D584E" w:rsidP="003D584E">
      <w:pPr>
        <w:rPr>
          <w:rFonts w:ascii="Times New Roman" w:eastAsia="Times New Roman" w:hAnsi="Times New Roman" w:cs="Times New Roman"/>
          <w:color w:val="000000" w:themeColor="text1"/>
        </w:rPr>
      </w:pPr>
    </w:p>
    <w:p w14:paraId="62E04557" w14:textId="77777777" w:rsidR="003D584E" w:rsidRDefault="003D584E" w:rsidP="003D584E">
      <w:pPr>
        <w:rPr>
          <w:rFonts w:ascii="Times New Roman" w:hAnsi="Times New Roman" w:cs="Times New Roman"/>
          <w:color w:val="000000" w:themeColor="text1"/>
        </w:rPr>
      </w:pPr>
      <w:r>
        <w:rPr>
          <w:rFonts w:ascii="Times New Roman" w:hAnsi="Times New Roman" w:cs="Times New Roman"/>
          <w:b/>
          <w:bCs/>
          <w:color w:val="000000" w:themeColor="text1"/>
        </w:rPr>
        <w:t xml:space="preserve">Objective: </w:t>
      </w:r>
      <w:r>
        <w:rPr>
          <w:rFonts w:ascii="Times New Roman" w:hAnsi="Times New Roman" w:cs="Times New Roman"/>
          <w:color w:val="000000" w:themeColor="text1"/>
        </w:rPr>
        <w:t xml:space="preserve">The study </w:t>
      </w:r>
      <w:r>
        <w:rPr>
          <w:rFonts w:ascii="Times New Roman" w:eastAsia="Times New Roman" w:hAnsi="Times New Roman" w:cs="Times New Roman"/>
          <w:color w:val="000000" w:themeColor="text1"/>
          <w:shd w:val="clear" w:color="auto" w:fill="FFFFFF"/>
        </w:rPr>
        <w:t>objective is to describe our experience with customized fluids in pediatric cardiac surgery patients.</w:t>
      </w:r>
    </w:p>
    <w:p w14:paraId="50D10E38" w14:textId="77777777" w:rsidR="003D584E" w:rsidRDefault="003D584E" w:rsidP="003D584E">
      <w:pPr>
        <w:rPr>
          <w:rFonts w:ascii="Times New Roman" w:hAnsi="Times New Roman" w:cs="Times New Roman"/>
          <w:color w:val="000000" w:themeColor="text1"/>
        </w:rPr>
      </w:pPr>
    </w:p>
    <w:p w14:paraId="7F1B5E98" w14:textId="77777777" w:rsidR="003D584E" w:rsidRDefault="003D584E" w:rsidP="003D584E">
      <w:pPr>
        <w:rPr>
          <w:rFonts w:ascii="Times New Roman" w:eastAsia="Times New Roman" w:hAnsi="Times New Roman" w:cs="Times New Roman"/>
          <w:color w:val="000000" w:themeColor="text1"/>
          <w:shd w:val="clear" w:color="auto" w:fill="FFFFFF"/>
        </w:rPr>
      </w:pPr>
      <w:r>
        <w:rPr>
          <w:rFonts w:ascii="Times New Roman" w:hAnsi="Times New Roman" w:cs="Times New Roman"/>
          <w:b/>
          <w:bCs/>
          <w:color w:val="000000" w:themeColor="text1"/>
        </w:rPr>
        <w:t xml:space="preserve">Methods: </w:t>
      </w:r>
      <w:r>
        <w:rPr>
          <w:rFonts w:ascii="Times New Roman" w:eastAsia="Times New Roman" w:hAnsi="Times New Roman" w:cs="Times New Roman"/>
          <w:color w:val="000000" w:themeColor="text1"/>
          <w:shd w:val="clear" w:color="auto" w:fill="FFFFFF"/>
        </w:rPr>
        <w:t xml:space="preserve">A retrospective review of pediatric cardiac surgical patients who weighed &lt;10 kg and were admitted between January 2002 to May 2009 and January 2018 to July 2020 was conducted. Ethics committee and institutional review board approved the study. All subject’s informed consents were obtained. Data collected during post-operative days (POD) 1-5 included patient demographics, description of fluid, electrolyte supplementation, diuretic use, laboratory values, and post-operative complications. Patients were divided into 2 weight groups, </w:t>
      </w:r>
      <w:r>
        <w:rPr>
          <w:rFonts w:ascii="Times New Roman" w:eastAsia="Times New Roman" w:hAnsi="Times New Roman" w:cs="Times New Roman"/>
          <w:color w:val="000000" w:themeColor="text1"/>
          <w:shd w:val="clear" w:color="auto" w:fill="FFFFFF"/>
        </w:rPr>
        <w:sym w:font="Symbol" w:char="F0A3"/>
      </w:r>
      <w:r>
        <w:rPr>
          <w:rFonts w:ascii="Times New Roman" w:eastAsia="Times New Roman" w:hAnsi="Times New Roman" w:cs="Times New Roman"/>
          <w:color w:val="000000" w:themeColor="text1"/>
          <w:shd w:val="clear" w:color="auto" w:fill="FFFFFF"/>
        </w:rPr>
        <w:t xml:space="preserve"> 5 kg and &gt; 5 kg.  Statistics were descriptive.</w:t>
      </w:r>
    </w:p>
    <w:p w14:paraId="5808EEC5" w14:textId="77777777" w:rsidR="003D584E" w:rsidRDefault="003D584E" w:rsidP="003D584E">
      <w:pPr>
        <w:rPr>
          <w:rFonts w:ascii="Times New Roman" w:hAnsi="Times New Roman" w:cs="Times New Roman"/>
          <w:color w:val="000000" w:themeColor="text1"/>
        </w:rPr>
      </w:pPr>
    </w:p>
    <w:p w14:paraId="69BCD7A7" w14:textId="77777777" w:rsidR="003D584E" w:rsidRDefault="003D584E" w:rsidP="003D584E">
      <w:pPr>
        <w:rPr>
          <w:rFonts w:ascii="Times New Roman" w:hAnsi="Times New Roman" w:cs="Times New Roman"/>
          <w:color w:val="000000" w:themeColor="text1"/>
        </w:rPr>
      </w:pPr>
      <w:r>
        <w:rPr>
          <w:rFonts w:ascii="Times New Roman" w:hAnsi="Times New Roman" w:cs="Times New Roman"/>
          <w:b/>
          <w:bCs/>
          <w:color w:val="000000" w:themeColor="text1"/>
        </w:rPr>
        <w:t>Results:</w:t>
      </w:r>
      <w:r>
        <w:rPr>
          <w:rFonts w:ascii="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The analysis included 198 patients. For </w:t>
      </w:r>
      <w:r>
        <w:rPr>
          <w:rFonts w:ascii="Times New Roman" w:eastAsia="Times New Roman" w:hAnsi="Times New Roman" w:cs="Times New Roman"/>
          <w:color w:val="000000" w:themeColor="text1"/>
          <w:shd w:val="clear" w:color="auto" w:fill="FFFFFF"/>
        </w:rPr>
        <w:sym w:font="Symbol" w:char="F0A3"/>
      </w:r>
      <w:r>
        <w:rPr>
          <w:rFonts w:ascii="Times New Roman" w:eastAsia="Times New Roman" w:hAnsi="Times New Roman" w:cs="Times New Roman"/>
          <w:color w:val="000000" w:themeColor="text1"/>
          <w:shd w:val="clear" w:color="auto" w:fill="FFFFFF"/>
        </w:rPr>
        <w:t xml:space="preserve"> 5 kg</w:t>
      </w:r>
      <w:r>
        <w:rPr>
          <w:rFonts w:ascii="Times New Roman" w:eastAsia="Times New Roman" w:hAnsi="Times New Roman" w:cs="Times New Roman"/>
          <w:color w:val="000000" w:themeColor="text1"/>
        </w:rPr>
        <w:t>, the average daily fluids and GIR were 3.57 mL/kg/hr and 5.55 mg/kg/min respectively. For &gt; 5 kg, the average daily fluids and GIR were 3.03 mL/kg/hr and 4.19 mg/kg/min respectively. Potassium was supplemented more often than calcium and glucose.</w:t>
      </w:r>
      <w:r>
        <w:rPr>
          <w:rFonts w:ascii="Times New Roman" w:hAnsi="Times New Roman" w:cs="Times New Roman"/>
          <w:color w:val="000000" w:themeColor="text1"/>
        </w:rPr>
        <w:t xml:space="preserve"> </w:t>
      </w:r>
    </w:p>
    <w:p w14:paraId="0CAA0494" w14:textId="77777777" w:rsidR="003D584E" w:rsidRDefault="003D584E" w:rsidP="003D584E">
      <w:pPr>
        <w:rPr>
          <w:rFonts w:ascii="Times New Roman" w:hAnsi="Times New Roman" w:cs="Times New Roman"/>
          <w:b/>
          <w:bCs/>
          <w:color w:val="000000" w:themeColor="text1"/>
        </w:rPr>
      </w:pPr>
    </w:p>
    <w:p w14:paraId="717E4C3F" w14:textId="77777777" w:rsidR="003D584E" w:rsidRDefault="003D584E" w:rsidP="003D584E">
      <w:pPr>
        <w:rPr>
          <w:rFonts w:ascii="Times New Roman" w:hAnsi="Times New Roman" w:cs="Times New Roman"/>
          <w:color w:val="000000" w:themeColor="text1"/>
        </w:rPr>
      </w:pPr>
      <w:r>
        <w:rPr>
          <w:rFonts w:ascii="Times New Roman" w:hAnsi="Times New Roman" w:cs="Times New Roman"/>
          <w:b/>
          <w:bCs/>
          <w:color w:val="000000" w:themeColor="text1"/>
        </w:rPr>
        <w:t xml:space="preserve">Conclusions: </w:t>
      </w:r>
      <w:r>
        <w:rPr>
          <w:rFonts w:ascii="Times New Roman" w:hAnsi="Times New Roman" w:cs="Times New Roman"/>
          <w:color w:val="000000" w:themeColor="text1"/>
        </w:rPr>
        <w:t xml:space="preserve"> Customized cardiac fluids met the goal GIR &gt; 5kg patients but not the &lt; 5 kg patients.  Despite the customized fluids, there was still a high number of supplements given.</w:t>
      </w:r>
    </w:p>
    <w:p w14:paraId="13F71301" w14:textId="15400CB8"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55349DD3" w14:textId="5E977D38"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74ABB7D0" w14:textId="7AB7AB08"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73295780" w14:textId="140EC49C"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62FBF260" w14:textId="768E3339"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63F243F5" w14:textId="77777777" w:rsidR="003D584E" w:rsidRPr="003D584E" w:rsidRDefault="003D584E" w:rsidP="003D584E">
      <w:pPr>
        <w:spacing w:after="0" w:line="480" w:lineRule="auto"/>
        <w:rPr>
          <w:rFonts w:ascii="Times New Roman" w:hAnsi="Times New Roman" w:cs="Times New Roman"/>
        </w:rPr>
      </w:pPr>
      <w:r w:rsidRPr="003D584E">
        <w:rPr>
          <w:rFonts w:ascii="Times New Roman" w:hAnsi="Times New Roman" w:cs="Times New Roman"/>
        </w:rPr>
        <w:lastRenderedPageBreak/>
        <w:t>THE EFFECT OF PHENOBARBITAL IN ALCOHOL WITHDRAWAL PATIENTS ADMITTED TO THE INTENSIVE CARE UNIT</w:t>
      </w:r>
    </w:p>
    <w:p w14:paraId="60260C1B" w14:textId="77777777" w:rsidR="003D584E" w:rsidRPr="003D584E" w:rsidRDefault="003D584E" w:rsidP="003D584E">
      <w:pPr>
        <w:spacing w:after="0" w:line="480" w:lineRule="auto"/>
        <w:rPr>
          <w:rFonts w:ascii="Times New Roman" w:hAnsi="Times New Roman" w:cs="Times New Roman"/>
        </w:rPr>
      </w:pPr>
      <w:r w:rsidRPr="003D584E">
        <w:rPr>
          <w:rFonts w:ascii="Times New Roman" w:hAnsi="Times New Roman" w:cs="Times New Roman"/>
          <w:u w:val="single"/>
        </w:rPr>
        <w:t>Luker C</w:t>
      </w:r>
      <w:r w:rsidRPr="003D584E">
        <w:rPr>
          <w:rFonts w:ascii="Times New Roman" w:hAnsi="Times New Roman" w:cs="Times New Roman"/>
        </w:rPr>
        <w:t xml:space="preserve">, </w:t>
      </w:r>
      <w:r w:rsidRPr="003D584E">
        <w:rPr>
          <w:rFonts w:ascii="Times New Roman" w:hAnsi="Times New Roman" w:cs="Times New Roman"/>
          <w:u w:val="single"/>
        </w:rPr>
        <w:t>Brown S</w:t>
      </w:r>
      <w:r w:rsidRPr="003D584E">
        <w:rPr>
          <w:rFonts w:ascii="Times New Roman" w:hAnsi="Times New Roman" w:cs="Times New Roman"/>
        </w:rPr>
        <w:t xml:space="preserve">, </w:t>
      </w:r>
      <w:r w:rsidRPr="003D584E">
        <w:rPr>
          <w:rFonts w:ascii="Times New Roman" w:hAnsi="Times New Roman" w:cs="Times New Roman"/>
          <w:u w:val="single"/>
        </w:rPr>
        <w:t>Thomasson, A*</w:t>
      </w:r>
    </w:p>
    <w:p w14:paraId="2EAB5C8C" w14:textId="77777777" w:rsidR="003D584E" w:rsidRPr="003D584E" w:rsidRDefault="003D584E" w:rsidP="003D584E">
      <w:pPr>
        <w:spacing w:after="0" w:line="480" w:lineRule="auto"/>
        <w:rPr>
          <w:rFonts w:ascii="Times New Roman" w:hAnsi="Times New Roman" w:cs="Times New Roman"/>
        </w:rPr>
      </w:pPr>
      <w:r w:rsidRPr="003D584E">
        <w:rPr>
          <w:rFonts w:ascii="Times New Roman" w:hAnsi="Times New Roman" w:cs="Times New Roman"/>
        </w:rPr>
        <w:t>St. Peter’s Hospital, 315 S Manning Blvd, Albany, NY 12208</w:t>
      </w:r>
    </w:p>
    <w:p w14:paraId="7F0A408C" w14:textId="77777777" w:rsidR="003D584E" w:rsidRPr="003D584E" w:rsidRDefault="003D584E" w:rsidP="003D584E">
      <w:pPr>
        <w:spacing w:after="0" w:line="240" w:lineRule="auto"/>
        <w:rPr>
          <w:rFonts w:ascii="Times New Roman" w:hAnsi="Times New Roman" w:cs="Times New Roman"/>
        </w:rPr>
      </w:pPr>
      <w:r w:rsidRPr="003D584E">
        <w:rPr>
          <w:rFonts w:ascii="Times New Roman" w:hAnsi="Times New Roman" w:cs="Times New Roman"/>
          <w:b/>
          <w:bCs/>
        </w:rPr>
        <w:t xml:space="preserve">Background: </w:t>
      </w:r>
      <w:r w:rsidRPr="003D584E">
        <w:rPr>
          <w:rFonts w:ascii="Times New Roman" w:hAnsi="Times New Roman" w:cs="Times New Roman"/>
        </w:rPr>
        <w:t xml:space="preserve">Acute alcohol withdrawal is precipitated by cessation/reduction of alcohol intake after repeated prolonged usage. Benzodiazepines are generally considered as the standard of care for management of alcohol withdrawal symptoms and prevention of seizures. Phenobarbital presents itself as a potential alternative to benzodiazepine therapies. Available literature suggests that phenobarbital may serve as a clinically safe and cost-effective alternative to benzodiazepine therapies. </w:t>
      </w:r>
    </w:p>
    <w:p w14:paraId="475B24F5" w14:textId="77777777" w:rsidR="003D584E" w:rsidRPr="003D584E" w:rsidRDefault="003D584E" w:rsidP="003D584E">
      <w:pPr>
        <w:spacing w:after="0" w:line="240" w:lineRule="auto"/>
        <w:rPr>
          <w:rFonts w:ascii="Times New Roman" w:hAnsi="Times New Roman" w:cs="Times New Roman"/>
          <w:b/>
          <w:bCs/>
        </w:rPr>
      </w:pPr>
    </w:p>
    <w:p w14:paraId="0EA5ACA4" w14:textId="77777777" w:rsidR="003D584E" w:rsidRPr="003D584E" w:rsidRDefault="003D584E" w:rsidP="003D584E">
      <w:pPr>
        <w:spacing w:after="0" w:line="240" w:lineRule="auto"/>
        <w:rPr>
          <w:rFonts w:ascii="Times New Roman" w:hAnsi="Times New Roman" w:cs="Times New Roman"/>
        </w:rPr>
      </w:pPr>
      <w:r w:rsidRPr="003D584E">
        <w:rPr>
          <w:rFonts w:ascii="Times New Roman" w:hAnsi="Times New Roman" w:cs="Times New Roman"/>
          <w:b/>
          <w:bCs/>
        </w:rPr>
        <w:t xml:space="preserve">Objective: </w:t>
      </w:r>
      <w:r w:rsidRPr="003D584E">
        <w:rPr>
          <w:rFonts w:ascii="Times New Roman" w:hAnsi="Times New Roman" w:cs="Times New Roman"/>
        </w:rPr>
        <w:t>To assess phenobarbital use in intensive care unit (ICU) patients admitted with acute alcohol withdrawal. The hypothesis of this study os that the use of phenobarbital in patients admitted to the ICU with alcohol withdrawal will decrease lengths of ICU stay.</w:t>
      </w:r>
    </w:p>
    <w:p w14:paraId="04DCB6B2" w14:textId="77777777" w:rsidR="003D584E" w:rsidRPr="003D584E" w:rsidRDefault="003D584E" w:rsidP="003D584E">
      <w:pPr>
        <w:spacing w:after="0" w:line="240" w:lineRule="auto"/>
        <w:rPr>
          <w:rFonts w:ascii="Times New Roman" w:hAnsi="Times New Roman" w:cs="Times New Roman"/>
          <w:b/>
          <w:bCs/>
        </w:rPr>
      </w:pPr>
    </w:p>
    <w:p w14:paraId="22597719" w14:textId="77777777" w:rsidR="003D584E" w:rsidRPr="003D584E" w:rsidRDefault="003D584E" w:rsidP="003D584E">
      <w:pPr>
        <w:spacing w:after="0" w:line="240" w:lineRule="auto"/>
        <w:rPr>
          <w:rFonts w:ascii="Times New Roman" w:hAnsi="Times New Roman" w:cs="Times New Roman"/>
        </w:rPr>
      </w:pPr>
      <w:r w:rsidRPr="003D584E">
        <w:rPr>
          <w:rFonts w:ascii="Times New Roman" w:hAnsi="Times New Roman" w:cs="Times New Roman"/>
          <w:b/>
          <w:bCs/>
        </w:rPr>
        <w:t xml:space="preserve">Methods: </w:t>
      </w:r>
      <w:r w:rsidRPr="003D584E">
        <w:rPr>
          <w:rFonts w:ascii="Times New Roman" w:hAnsi="Times New Roman" w:cs="Times New Roman"/>
        </w:rPr>
        <w:t>This was a single center retrospective chart review to determine how prescribing of phenobarbital in patients with acute alcohol withdrawal affects hospital stay. All patients admitted to the ICU with a diagnosis of acute alcohol withdrawal during this period were included,</w:t>
      </w:r>
      <w:r w:rsidRPr="003D584E">
        <w:rPr>
          <w:sz w:val="24"/>
          <w:szCs w:val="24"/>
        </w:rPr>
        <w:t xml:space="preserve"> </w:t>
      </w:r>
      <w:r w:rsidRPr="003D584E">
        <w:rPr>
          <w:rFonts w:ascii="Times New Roman" w:hAnsi="Times New Roman" w:cs="Times New Roman"/>
        </w:rPr>
        <w:t>data was then analyzed to characterize the population and to further to assess both the primary and secondary endpoints in patients treated with phenobarbital versus standard therapy (benzodiazepines).</w:t>
      </w:r>
    </w:p>
    <w:p w14:paraId="5D3AC8E8" w14:textId="77777777" w:rsidR="003D584E" w:rsidRPr="003D584E" w:rsidRDefault="003D584E" w:rsidP="003D584E">
      <w:pPr>
        <w:spacing w:after="0" w:line="240" w:lineRule="auto"/>
        <w:rPr>
          <w:rFonts w:ascii="Times New Roman" w:hAnsi="Times New Roman" w:cs="Times New Roman"/>
          <w:b/>
          <w:bCs/>
        </w:rPr>
      </w:pPr>
    </w:p>
    <w:p w14:paraId="333A496B" w14:textId="77777777" w:rsidR="003D584E" w:rsidRPr="003D584E" w:rsidRDefault="003D584E" w:rsidP="003D584E">
      <w:pPr>
        <w:spacing w:after="0" w:line="240" w:lineRule="auto"/>
        <w:rPr>
          <w:rFonts w:ascii="Times New Roman" w:hAnsi="Times New Roman" w:cs="Times New Roman"/>
          <w:b/>
          <w:bCs/>
        </w:rPr>
      </w:pPr>
      <w:r w:rsidRPr="003D584E">
        <w:rPr>
          <w:rFonts w:ascii="Times New Roman" w:hAnsi="Times New Roman" w:cs="Times New Roman"/>
          <w:b/>
          <w:bCs/>
        </w:rPr>
        <w:t xml:space="preserve">Results:  </w:t>
      </w:r>
      <w:r w:rsidRPr="003D584E">
        <w:rPr>
          <w:rFonts w:ascii="Times New Roman" w:hAnsi="Times New Roman" w:cs="Times New Roman"/>
        </w:rPr>
        <w:t xml:space="preserve">A total of 20 patients were included in the phenobarbital group, and 20 patients were in the standard therapy group. For our primary outcome, length of ICU stay for the phenobarbital group was 10.2 ± 5.6 days compared to 7.2 ± 5.3 days in the standard therapy group (p=0.0849). </w:t>
      </w:r>
    </w:p>
    <w:p w14:paraId="5E1F5F3E" w14:textId="77777777" w:rsidR="003D584E" w:rsidRPr="003D584E" w:rsidRDefault="003D584E" w:rsidP="003D584E">
      <w:pPr>
        <w:spacing w:after="0" w:line="240" w:lineRule="auto"/>
        <w:rPr>
          <w:rFonts w:ascii="Times New Roman" w:hAnsi="Times New Roman" w:cs="Times New Roman"/>
          <w:b/>
          <w:bCs/>
        </w:rPr>
      </w:pPr>
    </w:p>
    <w:p w14:paraId="7495B166" w14:textId="77777777" w:rsidR="003D584E" w:rsidRPr="003D584E" w:rsidRDefault="003D584E" w:rsidP="003D584E">
      <w:pPr>
        <w:spacing w:after="0" w:line="240" w:lineRule="auto"/>
        <w:rPr>
          <w:rFonts w:ascii="Times New Roman" w:hAnsi="Times New Roman" w:cs="Times New Roman"/>
          <w:vertAlign w:val="superscript"/>
        </w:rPr>
      </w:pPr>
      <w:r w:rsidRPr="003D584E">
        <w:rPr>
          <w:rFonts w:ascii="Times New Roman" w:hAnsi="Times New Roman" w:cs="Times New Roman"/>
          <w:b/>
          <w:bCs/>
        </w:rPr>
        <w:t xml:space="preserve">Conclusions: </w:t>
      </w:r>
      <w:r w:rsidRPr="003D584E">
        <w:rPr>
          <w:rFonts w:ascii="Times New Roman" w:hAnsi="Times New Roman" w:cs="Times New Roman"/>
        </w:rPr>
        <w:t>Further research is needed to better evaluate use of phenobarbital for the treatment of acute alcohol withdrawal implemented earlier in course of withdrawal.</w:t>
      </w:r>
    </w:p>
    <w:p w14:paraId="4850168E" w14:textId="2DC39B21"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44230B3E" w14:textId="0F732397"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4F291812" w14:textId="768D3790"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22998507" w14:textId="76911ECD"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3857A6B1" w14:textId="15A2B6D6"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1E4CDDC0" w14:textId="05E3D676"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10A719D4" w14:textId="75968CE4"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2BA7ED7B" w14:textId="644E5BD4"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2D25AD2F" w14:textId="19719D66"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36B003CF" w14:textId="198EE70E"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1A42C92C" w14:textId="0F2C6299"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34CF313E" w14:textId="0BA0F111"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30C92EA0" w14:textId="77777777" w:rsidR="003D584E" w:rsidRPr="003D584E" w:rsidRDefault="00CD461E" w:rsidP="003D584E">
      <w:pPr>
        <w:rPr>
          <w:rFonts w:ascii="Times New Roman" w:hAnsi="Times New Roman" w:cs="Times New Roman"/>
        </w:rPr>
      </w:pPr>
      <w:sdt>
        <w:sdtPr>
          <w:rPr>
            <w:b/>
            <w:bCs/>
          </w:rPr>
          <w:tag w:val="goog_rdk_0"/>
          <w:id w:val="-1612274224"/>
        </w:sdtPr>
        <w:sdtEndPr>
          <w:rPr>
            <w:b w:val="0"/>
            <w:bCs w:val="0"/>
          </w:rPr>
        </w:sdtEndPr>
        <w:sdtContent/>
      </w:sdt>
      <w:r w:rsidR="003D584E" w:rsidRPr="003D584E">
        <w:rPr>
          <w:rFonts w:ascii="Times New Roman" w:hAnsi="Times New Roman" w:cs="Times New Roman"/>
        </w:rPr>
        <w:t xml:space="preserve">AN EVALUATION OF WARFARIN FAILURE FOR THE TREATMENT OF LEFT VENTRICULAR THROMBUS  </w:t>
      </w:r>
    </w:p>
    <w:p w14:paraId="310E6D58" w14:textId="77777777" w:rsidR="003D584E" w:rsidRPr="003D584E" w:rsidRDefault="003D584E" w:rsidP="003D584E">
      <w:pPr>
        <w:rPr>
          <w:rFonts w:ascii="Times New Roman" w:hAnsi="Times New Roman" w:cs="Times New Roman"/>
        </w:rPr>
      </w:pPr>
    </w:p>
    <w:p w14:paraId="11858BCF" w14:textId="77777777" w:rsidR="003D584E" w:rsidRPr="003D584E" w:rsidRDefault="003D584E" w:rsidP="003D584E">
      <w:pPr>
        <w:rPr>
          <w:rFonts w:ascii="Times New Roman" w:hAnsi="Times New Roman" w:cs="Times New Roman"/>
        </w:rPr>
      </w:pPr>
      <w:r w:rsidRPr="003D584E">
        <w:rPr>
          <w:rFonts w:ascii="Times New Roman" w:hAnsi="Times New Roman" w:cs="Times New Roman"/>
        </w:rPr>
        <w:t>Toribio C*, Argiro S, Burger A, Gavioli E</w:t>
      </w:r>
    </w:p>
    <w:p w14:paraId="4B513893" w14:textId="77777777" w:rsidR="003D584E" w:rsidRPr="003D584E" w:rsidRDefault="003D584E" w:rsidP="003D584E">
      <w:pPr>
        <w:rPr>
          <w:rFonts w:ascii="Times New Roman" w:hAnsi="Times New Roman" w:cs="Times New Roman"/>
        </w:rPr>
      </w:pPr>
    </w:p>
    <w:p w14:paraId="05F437F9" w14:textId="77777777" w:rsidR="003D584E" w:rsidRPr="003D584E" w:rsidRDefault="003D584E" w:rsidP="003D584E">
      <w:pPr>
        <w:rPr>
          <w:rFonts w:ascii="Times New Roman" w:hAnsi="Times New Roman" w:cs="Times New Roman"/>
        </w:rPr>
      </w:pPr>
      <w:r w:rsidRPr="003D584E">
        <w:rPr>
          <w:rFonts w:ascii="Times New Roman" w:hAnsi="Times New Roman" w:cs="Times New Roman"/>
        </w:rPr>
        <w:t>Mount Sinai Beth Israel, 281 1st Ave, New York, NY 10003</w:t>
      </w:r>
    </w:p>
    <w:p w14:paraId="0513F366" w14:textId="77777777" w:rsidR="003D584E" w:rsidRPr="003D584E" w:rsidRDefault="003D584E" w:rsidP="003D584E">
      <w:pPr>
        <w:rPr>
          <w:rFonts w:ascii="Times New Roman" w:hAnsi="Times New Roman" w:cs="Times New Roman"/>
        </w:rPr>
      </w:pPr>
    </w:p>
    <w:p w14:paraId="696D3C69" w14:textId="77777777" w:rsidR="003D584E" w:rsidRPr="003D584E" w:rsidRDefault="003D584E" w:rsidP="003D584E">
      <w:pPr>
        <w:rPr>
          <w:rFonts w:ascii="Times New Roman" w:hAnsi="Times New Roman" w:cs="Times New Roman"/>
        </w:rPr>
      </w:pPr>
    </w:p>
    <w:p w14:paraId="1EB3765E" w14:textId="77777777" w:rsidR="003D584E" w:rsidRPr="003D584E" w:rsidRDefault="003D584E" w:rsidP="003D584E">
      <w:pPr>
        <w:rPr>
          <w:rFonts w:ascii="Times New Roman" w:hAnsi="Times New Roman" w:cs="Times New Roman"/>
        </w:rPr>
      </w:pPr>
      <w:r w:rsidRPr="003D584E">
        <w:rPr>
          <w:rFonts w:ascii="Times New Roman" w:hAnsi="Times New Roman" w:cs="Times New Roman"/>
          <w:b/>
        </w:rPr>
        <w:t xml:space="preserve">Background: </w:t>
      </w:r>
      <w:r w:rsidRPr="003D584E">
        <w:rPr>
          <w:rFonts w:ascii="Times New Roman" w:hAnsi="Times New Roman" w:cs="Times New Roman"/>
        </w:rPr>
        <w:t xml:space="preserve">Left ventricular thrombus (LVT) is a frequent complication in patients with acute myocardial infarction or dilated cardiomyopathy. Available guidelines offer weak recommendations for warfarin use, while offering no recommendations for direct oral anticoagulants (DOACs). </w:t>
      </w:r>
    </w:p>
    <w:p w14:paraId="65D0AF0A" w14:textId="77777777" w:rsidR="003D584E" w:rsidRPr="003D584E" w:rsidRDefault="003D584E" w:rsidP="003D584E">
      <w:pPr>
        <w:rPr>
          <w:rFonts w:ascii="Times New Roman" w:hAnsi="Times New Roman" w:cs="Times New Roman"/>
        </w:rPr>
      </w:pPr>
    </w:p>
    <w:p w14:paraId="11D809FF" w14:textId="77777777" w:rsidR="003D584E" w:rsidRPr="003D584E" w:rsidRDefault="003D584E" w:rsidP="003D584E">
      <w:pPr>
        <w:rPr>
          <w:rFonts w:ascii="Times New Roman" w:hAnsi="Times New Roman" w:cs="Times New Roman"/>
        </w:rPr>
      </w:pPr>
      <w:r w:rsidRPr="003D584E">
        <w:rPr>
          <w:rFonts w:ascii="Times New Roman" w:hAnsi="Times New Roman" w:cs="Times New Roman"/>
          <w:b/>
        </w:rPr>
        <w:t xml:space="preserve">Objective: </w:t>
      </w:r>
      <w:r w:rsidRPr="003D584E">
        <w:rPr>
          <w:rFonts w:ascii="Times New Roman" w:hAnsi="Times New Roman" w:cs="Times New Roman"/>
          <w:highlight w:val="white"/>
        </w:rPr>
        <w:t>The objective of this study was to evaluate warfarin failure for the treatment of LVT.</w:t>
      </w:r>
      <w:r w:rsidRPr="003D584E">
        <w:rPr>
          <w:rFonts w:ascii="Times New Roman" w:hAnsi="Times New Roman" w:cs="Times New Roman"/>
        </w:rPr>
        <w:t xml:space="preserve"> </w:t>
      </w:r>
    </w:p>
    <w:p w14:paraId="28043CAD" w14:textId="77777777" w:rsidR="003D584E" w:rsidRPr="003D584E" w:rsidRDefault="003D584E" w:rsidP="003D584E">
      <w:pPr>
        <w:rPr>
          <w:rFonts w:ascii="Times New Roman" w:hAnsi="Times New Roman" w:cs="Times New Roman"/>
        </w:rPr>
      </w:pPr>
      <w:r w:rsidRPr="003D584E">
        <w:rPr>
          <w:rFonts w:ascii="Times New Roman" w:hAnsi="Times New Roman" w:cs="Times New Roman"/>
        </w:rPr>
        <w:t xml:space="preserve"> </w:t>
      </w:r>
    </w:p>
    <w:p w14:paraId="459885CD" w14:textId="77777777" w:rsidR="003D584E" w:rsidRPr="003D584E" w:rsidRDefault="003D584E" w:rsidP="003D584E">
      <w:pPr>
        <w:rPr>
          <w:rFonts w:ascii="Times New Roman" w:hAnsi="Times New Roman" w:cs="Times New Roman"/>
        </w:rPr>
      </w:pPr>
      <w:r w:rsidRPr="003D584E">
        <w:rPr>
          <w:rFonts w:ascii="Times New Roman" w:hAnsi="Times New Roman" w:cs="Times New Roman"/>
          <w:b/>
        </w:rPr>
        <w:t xml:space="preserve">Methods: </w:t>
      </w:r>
      <w:r w:rsidRPr="003D584E">
        <w:rPr>
          <w:rFonts w:ascii="Times New Roman" w:hAnsi="Times New Roman" w:cs="Times New Roman"/>
        </w:rPr>
        <w:t>This was a retrospective study conducted at The Mount Sinai Health System from January 1, 2016 to January 1, 2020 in adult patients taking warfarin for the treatment of LVT secondary to an acute myocardial infarction or cardiomyopathy. Endpoints included</w:t>
      </w:r>
      <w:r w:rsidRPr="003D584E">
        <w:rPr>
          <w:rFonts w:ascii="Times New Roman" w:hAnsi="Times New Roman" w:cs="Times New Roman"/>
          <w:highlight w:val="white"/>
        </w:rPr>
        <w:t xml:space="preserve"> an evaluation of warfarin failure and identification of prognostic factors with treatment failure. </w:t>
      </w:r>
      <w:r w:rsidRPr="003D584E">
        <w:rPr>
          <w:rFonts w:ascii="Times New Roman" w:hAnsi="Times New Roman" w:cs="Times New Roman"/>
        </w:rPr>
        <w:t>This study was approved by the institutional review board of The Mount Sinai School of Medicine.</w:t>
      </w:r>
    </w:p>
    <w:p w14:paraId="0751D1DB" w14:textId="77777777" w:rsidR="003D584E" w:rsidRPr="003D584E" w:rsidRDefault="003D584E" w:rsidP="003D584E">
      <w:pPr>
        <w:rPr>
          <w:rFonts w:ascii="Times New Roman" w:hAnsi="Times New Roman" w:cs="Times New Roman"/>
        </w:rPr>
      </w:pPr>
    </w:p>
    <w:p w14:paraId="68EC83DD" w14:textId="77777777" w:rsidR="003D584E" w:rsidRPr="003D584E" w:rsidRDefault="003D584E" w:rsidP="003D584E">
      <w:pPr>
        <w:rPr>
          <w:rFonts w:ascii="Times New Roman" w:hAnsi="Times New Roman" w:cs="Times New Roman"/>
        </w:rPr>
      </w:pPr>
      <w:r w:rsidRPr="003D584E">
        <w:rPr>
          <w:rFonts w:ascii="Times New Roman" w:hAnsi="Times New Roman" w:cs="Times New Roman"/>
          <w:b/>
        </w:rPr>
        <w:t xml:space="preserve">Results: </w:t>
      </w:r>
    </w:p>
    <w:p w14:paraId="548BB629" w14:textId="77777777" w:rsidR="003D584E" w:rsidRPr="003D584E" w:rsidRDefault="003D584E" w:rsidP="003D584E">
      <w:pPr>
        <w:rPr>
          <w:rFonts w:ascii="Times New Roman" w:hAnsi="Times New Roman" w:cs="Times New Roman"/>
        </w:rPr>
      </w:pPr>
      <w:r w:rsidRPr="003D584E">
        <w:rPr>
          <w:rFonts w:ascii="Times New Roman" w:hAnsi="Times New Roman" w:cs="Times New Roman"/>
        </w:rPr>
        <w:t>There were 72 patients included in the study, and 52 patients (72%) demonstrated warfarin failure due to a lack of LVT resolution at 3 months, systemic embolization, or change in anticoagulation therapy. For time to treatment failure,</w:t>
      </w:r>
      <w:r w:rsidRPr="003D584E">
        <w:rPr>
          <w:rFonts w:ascii="Times New Roman" w:hAnsi="Times New Roman" w:cs="Times New Roman"/>
          <w:highlight w:val="white"/>
        </w:rPr>
        <w:t xml:space="preserve"> being an active smoker </w:t>
      </w:r>
      <w:r w:rsidRPr="003D584E">
        <w:rPr>
          <w:rFonts w:ascii="Times New Roman" w:hAnsi="Times New Roman" w:cs="Times New Roman"/>
          <w:color w:val="2A2A2A"/>
          <w:highlight w:val="white"/>
        </w:rPr>
        <w:t xml:space="preserve">[HR: 1.79; 95% CI: 1.23 – 2.60; p=0.002] and being on a single antiplatelet therapy [HR: 0.48; 95% CI: 0.25 – 0.94; p=0.03] </w:t>
      </w:r>
      <w:r w:rsidRPr="003D584E">
        <w:rPr>
          <w:rFonts w:ascii="Times New Roman" w:hAnsi="Times New Roman" w:cs="Times New Roman"/>
          <w:highlight w:val="white"/>
        </w:rPr>
        <w:t>were prognostic factors of warfarin therapy failure. Four patients had major</w:t>
      </w:r>
      <w:r w:rsidRPr="003D584E">
        <w:rPr>
          <w:rFonts w:ascii="Times New Roman" w:hAnsi="Times New Roman" w:cs="Times New Roman"/>
        </w:rPr>
        <w:t xml:space="preserve"> bleeding events secondary to warfarin therapy and required medical intervention. </w:t>
      </w:r>
    </w:p>
    <w:p w14:paraId="0ED82CEC" w14:textId="77777777" w:rsidR="003D584E" w:rsidRPr="003D584E" w:rsidRDefault="003D584E" w:rsidP="003D584E">
      <w:pPr>
        <w:rPr>
          <w:rFonts w:ascii="Times New Roman" w:hAnsi="Times New Roman" w:cs="Times New Roman"/>
        </w:rPr>
      </w:pPr>
    </w:p>
    <w:p w14:paraId="16400E0A" w14:textId="77777777" w:rsidR="003D584E" w:rsidRPr="003D584E" w:rsidRDefault="003D584E" w:rsidP="003D584E">
      <w:pPr>
        <w:rPr>
          <w:rFonts w:ascii="Times New Roman" w:hAnsi="Times New Roman" w:cs="Times New Roman"/>
        </w:rPr>
      </w:pPr>
      <w:r w:rsidRPr="003D584E">
        <w:rPr>
          <w:rFonts w:ascii="Times New Roman" w:hAnsi="Times New Roman" w:cs="Times New Roman"/>
          <w:b/>
        </w:rPr>
        <w:t xml:space="preserve">Conclusion: </w:t>
      </w:r>
      <w:r w:rsidRPr="003D584E">
        <w:rPr>
          <w:rFonts w:ascii="Times New Roman" w:hAnsi="Times New Roman" w:cs="Times New Roman"/>
        </w:rPr>
        <w:t>Warfarin failure is common in patients on therapy for LVT treatment. Active smokers were identified as more likely to have a poor treatment outcome, and may need more regular follow-up or considered for alternative therapy.</w:t>
      </w:r>
    </w:p>
    <w:p w14:paraId="384CCEFA" w14:textId="326740DE"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3E305712" w14:textId="5F891FE2"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2A9912D8" w14:textId="4D74B7F8"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253C832A" w14:textId="1D80A16D"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167478AA" w14:textId="77777777" w:rsidR="003D584E" w:rsidRDefault="003D584E" w:rsidP="003D584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IMPACT OF RX ANTICOAGULATION SCORING TOOL ON ANTICOAGULATION MONITORING IN AN INPATIENT SETTING</w:t>
      </w:r>
    </w:p>
    <w:p w14:paraId="0D45C251" w14:textId="77777777" w:rsidR="003D584E" w:rsidRDefault="003D584E" w:rsidP="003D584E">
      <w:pPr>
        <w:spacing w:after="0" w:line="240" w:lineRule="auto"/>
        <w:rPr>
          <w:rFonts w:ascii="Times New Roman" w:eastAsia="Times New Roman" w:hAnsi="Times New Roman" w:cs="Times New Roman"/>
          <w:b/>
          <w:color w:val="000000"/>
          <w:sz w:val="24"/>
          <w:szCs w:val="24"/>
        </w:rPr>
      </w:pPr>
    </w:p>
    <w:p w14:paraId="483C4583" w14:textId="77777777" w:rsidR="003D584E" w:rsidRDefault="003D584E" w:rsidP="003D58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Tsitarava 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Melamed-Khaytin A</w:t>
      </w:r>
    </w:p>
    <w:p w14:paraId="4B43933F" w14:textId="77777777" w:rsidR="003D584E" w:rsidRDefault="003D584E" w:rsidP="003D584E">
      <w:pPr>
        <w:spacing w:after="0" w:line="240" w:lineRule="auto"/>
        <w:rPr>
          <w:rFonts w:ascii="Times New Roman" w:eastAsia="Times New Roman" w:hAnsi="Times New Roman" w:cs="Times New Roman"/>
          <w:color w:val="000000"/>
          <w:sz w:val="24"/>
          <w:szCs w:val="24"/>
        </w:rPr>
      </w:pPr>
    </w:p>
    <w:p w14:paraId="7A74BDDC" w14:textId="77777777" w:rsidR="003D584E" w:rsidRDefault="003D584E" w:rsidP="003D58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Mount Sinai Brooklyn, 3201 Kings Hwy, Brooklyn 11234</w:t>
      </w:r>
    </w:p>
    <w:p w14:paraId="6BA4A94A" w14:textId="77777777" w:rsidR="003D584E" w:rsidRDefault="003D584E" w:rsidP="003D584E">
      <w:pPr>
        <w:spacing w:after="0" w:line="240" w:lineRule="auto"/>
        <w:rPr>
          <w:rFonts w:ascii="Times New Roman" w:eastAsia="Times New Roman" w:hAnsi="Times New Roman" w:cs="Times New Roman"/>
          <w:color w:val="000000"/>
          <w:sz w:val="24"/>
          <w:szCs w:val="24"/>
        </w:rPr>
      </w:pPr>
    </w:p>
    <w:p w14:paraId="26FF6C34" w14:textId="77777777" w:rsidR="003D584E" w:rsidRDefault="003D584E" w:rsidP="003D584E">
      <w:pPr>
        <w:spacing w:after="0" w:line="240" w:lineRule="auto"/>
        <w:rPr>
          <w:rFonts w:ascii="Times New Roman" w:hAnsi="Times New Roman" w:cs="Times New Roman"/>
          <w:color w:val="000000"/>
          <w:sz w:val="24"/>
          <w:szCs w:val="24"/>
          <w:shd w:val="clear" w:color="auto" w:fill="FFFFFF"/>
        </w:rPr>
      </w:pPr>
      <w:r>
        <w:rPr>
          <w:rFonts w:ascii="Times New Roman" w:eastAsia="Times New Roman" w:hAnsi="Times New Roman" w:cs="Times New Roman"/>
          <w:b/>
          <w:color w:val="000000"/>
          <w:sz w:val="24"/>
          <w:szCs w:val="24"/>
        </w:rPr>
        <w:t>Background: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themeColor="text1"/>
          <w:sz w:val="24"/>
          <w:szCs w:val="24"/>
        </w:rPr>
        <w:t>R</w:t>
      </w:r>
      <w:r>
        <w:rPr>
          <w:rFonts w:ascii="Times New Roman" w:hAnsi="Times New Roman" w:cs="Times New Roman"/>
          <w:color w:val="000000" w:themeColor="text1"/>
          <w:sz w:val="24"/>
          <w:szCs w:val="24"/>
        </w:rPr>
        <w:t xml:space="preserve">x Anticoagulation scoring tool is a built-in instrument in </w:t>
      </w:r>
      <w:r>
        <w:rPr>
          <w:rFonts w:ascii="Times New Roman" w:eastAsia="Times New Roman" w:hAnsi="Times New Roman" w:cs="Times New Roman"/>
          <w:color w:val="000000" w:themeColor="text1"/>
          <w:sz w:val="24"/>
          <w:szCs w:val="24"/>
        </w:rPr>
        <w:t xml:space="preserve">an </w:t>
      </w:r>
      <w:r>
        <w:rPr>
          <w:rFonts w:ascii="Times New Roman" w:hAnsi="Times New Roman" w:cs="Times New Roman"/>
          <w:color w:val="000000" w:themeColor="text1"/>
          <w:sz w:val="24"/>
          <w:szCs w:val="24"/>
          <w:shd w:val="clear" w:color="auto" w:fill="FFFFFF"/>
        </w:rPr>
        <w:t>electronic medical record </w:t>
      </w:r>
      <w:r>
        <w:rPr>
          <w:rStyle w:val="Emphasis"/>
          <w:rFonts w:ascii="Times New Roman" w:hAnsi="Times New Roman" w:cs="Times New Roman"/>
          <w:bCs/>
          <w:color w:val="000000" w:themeColor="text1"/>
          <w:sz w:val="24"/>
          <w:szCs w:val="24"/>
          <w:shd w:val="clear" w:color="auto" w:fill="FFFFFF"/>
        </w:rPr>
        <w:t xml:space="preserve">system, </w:t>
      </w:r>
      <w:r>
        <w:rPr>
          <w:rFonts w:ascii="Times New Roman" w:hAnsi="Times New Roman" w:cs="Times New Roman"/>
          <w:color w:val="000000" w:themeColor="text1"/>
          <w:sz w:val="24"/>
          <w:szCs w:val="24"/>
        </w:rPr>
        <w:t xml:space="preserve">Epic, </w:t>
      </w:r>
      <w:r>
        <w:rPr>
          <w:rFonts w:ascii="Times New Roman" w:hAnsi="Times New Roman" w:cs="Times New Roman"/>
          <w:sz w:val="24"/>
          <w:szCs w:val="24"/>
        </w:rPr>
        <w:t xml:space="preserve">that identifies problem anticoagulation orders that may warrant further review and the need for intervention based on various pre-specified criteria. The score is updated in Epic in real time. This tool may offer advantages in monitoring the anticoagulation therapy for the patients in a real time, however, it was not operationalized at Mount Sinai Brooklyn. </w:t>
      </w:r>
    </w:p>
    <w:p w14:paraId="2FE6C528" w14:textId="77777777" w:rsidR="003D584E" w:rsidRDefault="003D584E" w:rsidP="003D584E">
      <w:pPr>
        <w:spacing w:after="0" w:line="240" w:lineRule="auto"/>
        <w:rPr>
          <w:rFonts w:ascii="Times New Roman" w:hAnsi="Times New Roman" w:cs="Times New Roman"/>
          <w:color w:val="000000"/>
          <w:sz w:val="24"/>
          <w:szCs w:val="24"/>
          <w:shd w:val="clear" w:color="auto" w:fill="FFFFFF"/>
        </w:rPr>
      </w:pPr>
    </w:p>
    <w:p w14:paraId="43266733" w14:textId="77777777" w:rsidR="003D584E" w:rsidRDefault="003D584E" w:rsidP="003D584E">
      <w:pPr>
        <w:spacing w:after="0" w:line="240" w:lineRule="auto"/>
        <w:rPr>
          <w:rFonts w:ascii="Times New Roman" w:eastAsia="Times New Roman" w:hAnsi="Times New Roman" w:cs="Times New Roman"/>
          <w:color w:val="000000"/>
          <w:sz w:val="24"/>
          <w:szCs w:val="24"/>
        </w:rPr>
      </w:pPr>
      <w:r>
        <w:rPr>
          <w:rFonts w:ascii="Times New Roman" w:hAnsi="Times New Roman" w:cs="Times New Roman"/>
          <w:b/>
          <w:color w:val="000000"/>
          <w:sz w:val="24"/>
          <w:szCs w:val="24"/>
          <w:shd w:val="clear" w:color="auto" w:fill="FFFFFF"/>
        </w:rPr>
        <w:t>Objective:</w:t>
      </w:r>
      <w:r>
        <w:rPr>
          <w:rFonts w:ascii="Times New Roman" w:hAnsi="Times New Roman" w:cs="Times New Roman"/>
          <w:color w:val="000000"/>
          <w:sz w:val="24"/>
          <w:szCs w:val="24"/>
          <w:shd w:val="clear" w:color="auto" w:fill="FFFFFF"/>
        </w:rPr>
        <w:t xml:space="preserve"> To evaluate the accuracy and reliability of the RX anticoagulation tool in managing anticoagulation therapy for inpatient use and to capture the impact of the tool on patient care.</w:t>
      </w:r>
    </w:p>
    <w:p w14:paraId="3351D6EF" w14:textId="77777777" w:rsidR="003D584E" w:rsidRDefault="003D584E" w:rsidP="003D584E">
      <w:pPr>
        <w:spacing w:after="0" w:line="240" w:lineRule="auto"/>
        <w:rPr>
          <w:rFonts w:ascii="Times New Roman" w:eastAsia="Times New Roman" w:hAnsi="Times New Roman" w:cs="Times New Roman"/>
          <w:color w:val="000000"/>
          <w:sz w:val="24"/>
          <w:szCs w:val="24"/>
        </w:rPr>
      </w:pPr>
    </w:p>
    <w:p w14:paraId="65AF6CA2" w14:textId="77777777" w:rsidR="003D584E" w:rsidRDefault="003D584E" w:rsidP="003D584E">
      <w:pPr>
        <w:spacing w:after="0" w:line="240" w:lineRule="auto"/>
        <w:rPr>
          <w:rFonts w:ascii="Times New Roman" w:hAnsi="Times New Roman" w:cs="Times New Roman"/>
          <w:sz w:val="24"/>
          <w:szCs w:val="24"/>
        </w:rPr>
      </w:pPr>
      <w:r>
        <w:rPr>
          <w:rFonts w:ascii="Times New Roman" w:hAnsi="Times New Roman" w:cs="Times New Roman"/>
          <w:b/>
          <w:sz w:val="24"/>
          <w:szCs w:val="24"/>
        </w:rPr>
        <w:t>Methods:</w:t>
      </w:r>
      <w:r>
        <w:rPr>
          <w:rFonts w:ascii="Times New Roman" w:hAnsi="Times New Roman" w:cs="Times New Roman"/>
          <w:sz w:val="24"/>
          <w:szCs w:val="24"/>
        </w:rPr>
        <w:t xml:space="preserve"> A single center retrospective daily chart review of all patients identified by the scoring tool in electronic medical record, Epic. The medications that are captured by the tool include enoxaparin, warfarin, heparin, apixaban, rivaroxaban, dabigatran, argatroban, bivalirudin, and fondaparinux. The trigger list includes the following parameters: Hgb decrease by &gt; 2g/dL, SCr &gt; 1.5 mg/dL, CrCl &lt;30 mL/min, aPTT &gt;110 sec, aPTT &gt; 90 sec, platelets &lt; 50</w:t>
      </w:r>
      <w:r>
        <w:rPr>
          <w:rFonts w:ascii="Times New Roman" w:hAnsi="Times New Roman" w:cs="Times New Roman"/>
          <w:color w:val="4D5156"/>
          <w:sz w:val="24"/>
          <w:szCs w:val="24"/>
          <w:shd w:val="clear" w:color="auto" w:fill="FFFFFF"/>
        </w:rPr>
        <w:t xml:space="preserve"> </w:t>
      </w:r>
      <w:r>
        <w:rPr>
          <w:rFonts w:ascii="Times New Roman" w:hAnsi="Times New Roman" w:cs="Times New Roman"/>
          <w:color w:val="000000" w:themeColor="text1"/>
          <w:sz w:val="24"/>
          <w:szCs w:val="24"/>
          <w:shd w:val="clear" w:color="auto" w:fill="FFFFFF"/>
        </w:rPr>
        <w:t>× 10</w:t>
      </w:r>
      <w:r>
        <w:rPr>
          <w:rFonts w:ascii="Times New Roman" w:hAnsi="Times New Roman" w:cs="Times New Roman"/>
          <w:color w:val="000000" w:themeColor="text1"/>
          <w:sz w:val="24"/>
          <w:szCs w:val="24"/>
          <w:shd w:val="clear" w:color="auto" w:fill="FFFFFF"/>
          <w:vertAlign w:val="superscript"/>
        </w:rPr>
        <w:t>9</w:t>
      </w:r>
      <w:r>
        <w:rPr>
          <w:rFonts w:ascii="Times New Roman" w:hAnsi="Times New Roman" w:cs="Times New Roman"/>
          <w:color w:val="000000" w:themeColor="text1"/>
          <w:sz w:val="24"/>
          <w:szCs w:val="24"/>
          <w:shd w:val="clear" w:color="auto" w:fill="FFFFFF"/>
        </w:rPr>
        <w:t>/L</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INR &gt; 3.8, Anti Xa level &gt; 1.2 </w:t>
      </w:r>
      <w:r>
        <w:rPr>
          <w:rFonts w:ascii="Times New Roman" w:hAnsi="Times New Roman" w:cs="Times New Roman"/>
          <w:color w:val="2A2A2A"/>
          <w:sz w:val="24"/>
          <w:szCs w:val="24"/>
        </w:rPr>
        <w:t xml:space="preserve">IU/mL. </w:t>
      </w:r>
      <w:r>
        <w:rPr>
          <w:rFonts w:ascii="Times New Roman" w:hAnsi="Times New Roman" w:cs="Times New Roman"/>
          <w:sz w:val="24"/>
          <w:szCs w:val="24"/>
        </w:rPr>
        <w:t>Data would include indication for use, dose, frequency, route, patient Covid-19 status, SCr, INR, aPTT, and d-dimer values. The appropriateness of use would be defined according to the most recent clinical treatment guidelines. All flagged anticoagulation orders for adult patients captured by this tool within 3 months frame would be included in this review.</w:t>
      </w:r>
    </w:p>
    <w:p w14:paraId="15E76C94" w14:textId="77777777" w:rsidR="003D584E" w:rsidRDefault="003D584E" w:rsidP="003D584E">
      <w:pPr>
        <w:spacing w:after="0" w:line="240" w:lineRule="auto"/>
        <w:rPr>
          <w:rFonts w:ascii="Times New Roman" w:hAnsi="Times New Roman" w:cs="Times New Roman"/>
          <w:color w:val="676767"/>
          <w:sz w:val="24"/>
          <w:szCs w:val="24"/>
          <w:shd w:val="clear" w:color="auto" w:fill="FFFFFF"/>
        </w:rPr>
      </w:pPr>
    </w:p>
    <w:p w14:paraId="6A3D288E" w14:textId="77777777" w:rsidR="003D584E" w:rsidRDefault="003D584E" w:rsidP="003D584E">
      <w:pPr>
        <w:rPr>
          <w:rFonts w:ascii="Times New Roman" w:hAnsi="Times New Roman" w:cs="Times New Roman"/>
          <w:sz w:val="24"/>
          <w:szCs w:val="24"/>
        </w:rPr>
      </w:pPr>
      <w:r>
        <w:rPr>
          <w:rFonts w:ascii="Times New Roman" w:hAnsi="Times New Roman" w:cs="Times New Roman"/>
          <w:b/>
          <w:sz w:val="24"/>
          <w:szCs w:val="24"/>
        </w:rPr>
        <w:t>Results:</w:t>
      </w:r>
      <w:r>
        <w:rPr>
          <w:rFonts w:ascii="Times New Roman" w:hAnsi="Times New Roman" w:cs="Times New Roman"/>
          <w:sz w:val="24"/>
          <w:szCs w:val="24"/>
        </w:rPr>
        <w:t xml:space="preserve"> In progress.</w:t>
      </w:r>
    </w:p>
    <w:p w14:paraId="6ABD8ACB" w14:textId="729C291B" w:rsidR="003D584E" w:rsidRDefault="003D584E" w:rsidP="003D584E">
      <w:pPr>
        <w:spacing w:line="240" w:lineRule="auto"/>
        <w:rPr>
          <w:rFonts w:ascii="Times New Roman" w:hAnsi="Times New Roman" w:cs="Times New Roman"/>
          <w:sz w:val="24"/>
          <w:szCs w:val="24"/>
        </w:rPr>
      </w:pPr>
      <w:r>
        <w:rPr>
          <w:rFonts w:ascii="Times New Roman" w:hAnsi="Times New Roman" w:cs="Times New Roman"/>
          <w:b/>
          <w:sz w:val="24"/>
          <w:szCs w:val="24"/>
        </w:rPr>
        <w:t>Conclusion:</w:t>
      </w:r>
      <w:r>
        <w:rPr>
          <w:rFonts w:ascii="Times New Roman" w:hAnsi="Times New Roman" w:cs="Times New Roman"/>
          <w:sz w:val="24"/>
          <w:szCs w:val="24"/>
        </w:rPr>
        <w:t xml:space="preserve"> In progress.</w:t>
      </w:r>
    </w:p>
    <w:p w14:paraId="6BE1E625" w14:textId="544704AA" w:rsidR="003D584E" w:rsidRDefault="003D584E" w:rsidP="003D584E">
      <w:pPr>
        <w:spacing w:line="240" w:lineRule="auto"/>
        <w:rPr>
          <w:rFonts w:ascii="Times New Roman" w:hAnsi="Times New Roman" w:cs="Times New Roman"/>
          <w:sz w:val="24"/>
          <w:szCs w:val="24"/>
        </w:rPr>
      </w:pPr>
    </w:p>
    <w:p w14:paraId="438AC4E6" w14:textId="3DB08EE9" w:rsidR="003D584E" w:rsidRDefault="003D584E" w:rsidP="003D584E">
      <w:pPr>
        <w:spacing w:line="240" w:lineRule="auto"/>
        <w:rPr>
          <w:rFonts w:ascii="Times New Roman" w:hAnsi="Times New Roman" w:cs="Times New Roman"/>
          <w:sz w:val="24"/>
          <w:szCs w:val="24"/>
        </w:rPr>
      </w:pPr>
    </w:p>
    <w:p w14:paraId="396754F1" w14:textId="4C32624A" w:rsidR="003D584E" w:rsidRDefault="003D584E" w:rsidP="003D584E">
      <w:pPr>
        <w:spacing w:line="240" w:lineRule="auto"/>
        <w:rPr>
          <w:rFonts w:ascii="Times New Roman" w:hAnsi="Times New Roman" w:cs="Times New Roman"/>
          <w:sz w:val="24"/>
          <w:szCs w:val="24"/>
        </w:rPr>
      </w:pPr>
    </w:p>
    <w:p w14:paraId="43F18853" w14:textId="2407B105" w:rsidR="003D584E" w:rsidRDefault="003D584E" w:rsidP="003D584E">
      <w:pPr>
        <w:spacing w:line="240" w:lineRule="auto"/>
        <w:rPr>
          <w:rFonts w:ascii="Times New Roman" w:hAnsi="Times New Roman" w:cs="Times New Roman"/>
          <w:sz w:val="24"/>
          <w:szCs w:val="24"/>
        </w:rPr>
      </w:pPr>
    </w:p>
    <w:p w14:paraId="561ED0A0" w14:textId="773672B9" w:rsidR="003D584E" w:rsidRDefault="003D584E" w:rsidP="003D584E">
      <w:pPr>
        <w:spacing w:line="240" w:lineRule="auto"/>
        <w:rPr>
          <w:rFonts w:ascii="Times New Roman" w:hAnsi="Times New Roman" w:cs="Times New Roman"/>
          <w:sz w:val="24"/>
          <w:szCs w:val="24"/>
        </w:rPr>
      </w:pPr>
    </w:p>
    <w:p w14:paraId="7EDC12EC" w14:textId="5BCEE157" w:rsidR="003D584E" w:rsidRDefault="003D584E" w:rsidP="003D584E">
      <w:pPr>
        <w:spacing w:line="240" w:lineRule="auto"/>
        <w:rPr>
          <w:rFonts w:ascii="Times New Roman" w:hAnsi="Times New Roman" w:cs="Times New Roman"/>
          <w:sz w:val="24"/>
          <w:szCs w:val="24"/>
        </w:rPr>
      </w:pPr>
    </w:p>
    <w:p w14:paraId="2AA7BF51" w14:textId="006351CF" w:rsidR="003D584E" w:rsidRDefault="003D584E" w:rsidP="003D584E">
      <w:pPr>
        <w:spacing w:line="240" w:lineRule="auto"/>
        <w:rPr>
          <w:rFonts w:ascii="Times New Roman" w:hAnsi="Times New Roman" w:cs="Times New Roman"/>
          <w:sz w:val="24"/>
          <w:szCs w:val="24"/>
        </w:rPr>
      </w:pPr>
    </w:p>
    <w:p w14:paraId="7D461B55" w14:textId="0593815F" w:rsidR="003D584E" w:rsidRDefault="003D584E" w:rsidP="003D584E">
      <w:pPr>
        <w:spacing w:line="240" w:lineRule="auto"/>
        <w:rPr>
          <w:rFonts w:ascii="Times New Roman" w:hAnsi="Times New Roman" w:cs="Times New Roman"/>
          <w:sz w:val="24"/>
          <w:szCs w:val="24"/>
        </w:rPr>
      </w:pPr>
    </w:p>
    <w:p w14:paraId="06D6D42F" w14:textId="7A96CB2A" w:rsidR="003D584E" w:rsidRDefault="003D584E" w:rsidP="003D584E">
      <w:pPr>
        <w:spacing w:line="240" w:lineRule="auto"/>
        <w:rPr>
          <w:rFonts w:ascii="Times New Roman" w:hAnsi="Times New Roman" w:cs="Times New Roman"/>
          <w:sz w:val="24"/>
          <w:szCs w:val="24"/>
        </w:rPr>
      </w:pPr>
    </w:p>
    <w:p w14:paraId="05FCFE07" w14:textId="55A9F815" w:rsidR="003D584E" w:rsidRDefault="003D584E" w:rsidP="003D584E">
      <w:pPr>
        <w:spacing w:line="240" w:lineRule="auto"/>
        <w:rPr>
          <w:rFonts w:ascii="Times New Roman" w:hAnsi="Times New Roman" w:cs="Times New Roman"/>
          <w:sz w:val="24"/>
          <w:szCs w:val="24"/>
        </w:rPr>
      </w:pPr>
    </w:p>
    <w:p w14:paraId="1BE77F04" w14:textId="77777777" w:rsidR="003D584E" w:rsidRDefault="003D584E" w:rsidP="003D584E">
      <w:pPr>
        <w:rPr>
          <w:rFonts w:ascii="Times New Roman" w:hAnsi="Times New Roman" w:cs="Times New Roman"/>
          <w:bCs/>
        </w:rPr>
      </w:pPr>
      <w:r>
        <w:rPr>
          <w:rFonts w:ascii="Times New Roman" w:hAnsi="Times New Roman" w:cs="Times New Roman"/>
          <w:bCs/>
        </w:rPr>
        <w:lastRenderedPageBreak/>
        <w:t xml:space="preserve">EFFECTIVENESS OF A PHARMACY RESIDENT DRIVEN CULTURE FOLLOW -UP PROGRAM IN AN EMERGENCY DEPARTMENT </w:t>
      </w:r>
    </w:p>
    <w:p w14:paraId="1B007B2C" w14:textId="77777777" w:rsidR="003D584E" w:rsidRDefault="003D584E" w:rsidP="003D584E">
      <w:pPr>
        <w:rPr>
          <w:rFonts w:ascii="Times New Roman" w:hAnsi="Times New Roman" w:cs="Times New Roman"/>
          <w:u w:val="single"/>
        </w:rPr>
      </w:pPr>
      <w:r>
        <w:rPr>
          <w:rFonts w:ascii="Times New Roman" w:hAnsi="Times New Roman" w:cs="Times New Roman"/>
        </w:rPr>
        <w:t xml:space="preserve">Authors: </w:t>
      </w:r>
      <w:r>
        <w:rPr>
          <w:rFonts w:ascii="Times New Roman" w:hAnsi="Times New Roman" w:cs="Times New Roman"/>
          <w:u w:val="single"/>
        </w:rPr>
        <w:t>VanSice R*, Aladeen J, Wojciechowski A</w:t>
      </w:r>
    </w:p>
    <w:p w14:paraId="7C81FBBB" w14:textId="77777777" w:rsidR="003D584E" w:rsidRDefault="003D584E" w:rsidP="003D584E">
      <w:pPr>
        <w:rPr>
          <w:rFonts w:ascii="Times New Roman" w:hAnsi="Times New Roman" w:cs="Times New Roman"/>
        </w:rPr>
      </w:pPr>
      <w:r>
        <w:rPr>
          <w:rFonts w:ascii="Times New Roman" w:hAnsi="Times New Roman" w:cs="Times New Roman"/>
        </w:rPr>
        <w:t>Niagara Falls Memorial Medical Center, 621 10th Street, Niagara Falls, NY 14301</w:t>
      </w:r>
    </w:p>
    <w:p w14:paraId="21A33058" w14:textId="77777777" w:rsidR="003D584E" w:rsidRDefault="003D584E" w:rsidP="003D584E">
      <w:pPr>
        <w:rPr>
          <w:rFonts w:ascii="Times New Roman" w:hAnsi="Times New Roman" w:cs="Times New Roman"/>
        </w:rPr>
      </w:pPr>
    </w:p>
    <w:p w14:paraId="0C8259BE" w14:textId="77777777" w:rsidR="003D584E" w:rsidRDefault="003D584E" w:rsidP="003D584E">
      <w:pPr>
        <w:rPr>
          <w:rFonts w:ascii="Times New Roman" w:eastAsia="Times New Roman" w:hAnsi="Times New Roman" w:cs="Times New Roman"/>
          <w:color w:val="000000"/>
        </w:rPr>
      </w:pPr>
      <w:r>
        <w:rPr>
          <w:rFonts w:ascii="Times New Roman" w:eastAsia="Times New Roman" w:hAnsi="Times New Roman" w:cs="Times New Roman"/>
          <w:b/>
          <w:bCs/>
          <w:color w:val="000000"/>
        </w:rPr>
        <w:t>Background</w:t>
      </w:r>
      <w:r>
        <w:rPr>
          <w:rFonts w:ascii="Times New Roman" w:eastAsia="Times New Roman" w:hAnsi="Times New Roman" w:cs="Times New Roman"/>
          <w:color w:val="000000"/>
        </w:rPr>
        <w:t>: Pharmacists working in the emergency department (ED) have the ability to impact patient care with culture follow-up after ED discharge. Prior to October 2017, our institution had an ED culture follow-up program run by nurses and ED providers using paper documentation. This was replaced by an electronic, Monday to Friday (M-F) ED pharmacist led program that demonstrated improved time to culture review.</w:t>
      </w:r>
    </w:p>
    <w:p w14:paraId="7FB98338" w14:textId="77777777" w:rsidR="003D584E" w:rsidRDefault="003D584E" w:rsidP="003D584E">
      <w:pPr>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AEBFA33" w14:textId="77777777" w:rsidR="003D584E" w:rsidRDefault="003D584E" w:rsidP="003D584E">
      <w:pPr>
        <w:rPr>
          <w:rFonts w:ascii="Times New Roman" w:eastAsia="Times New Roman" w:hAnsi="Times New Roman" w:cs="Times New Roman"/>
          <w:color w:val="000000"/>
        </w:rPr>
      </w:pPr>
      <w:r>
        <w:rPr>
          <w:rFonts w:ascii="Times New Roman" w:eastAsia="Times New Roman" w:hAnsi="Times New Roman" w:cs="Times New Roman"/>
          <w:b/>
          <w:bCs/>
          <w:color w:val="000000"/>
        </w:rPr>
        <w:t>Objective</w:t>
      </w:r>
      <w:r>
        <w:rPr>
          <w:rFonts w:ascii="Times New Roman" w:eastAsia="Times New Roman" w:hAnsi="Times New Roman" w:cs="Times New Roman"/>
          <w:color w:val="000000"/>
        </w:rPr>
        <w:t>: Assess the seven day per week pharmacy resident driven (seven-day group) culture program for the outcome of time elapsed to culture review from the time of culture resulted (TE).</w:t>
      </w:r>
    </w:p>
    <w:p w14:paraId="19EA3DF0" w14:textId="77777777" w:rsidR="003D584E" w:rsidRDefault="003D584E" w:rsidP="003D584E">
      <w:pPr>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4A56D7A2" w14:textId="77777777" w:rsidR="003D584E" w:rsidRDefault="003D584E" w:rsidP="003D584E">
      <w:pPr>
        <w:rPr>
          <w:rFonts w:ascii="Times New Roman" w:eastAsia="Times New Roman" w:hAnsi="Times New Roman" w:cs="Times New Roman"/>
          <w:color w:val="000000"/>
        </w:rPr>
      </w:pPr>
      <w:r>
        <w:rPr>
          <w:rFonts w:ascii="Times New Roman" w:eastAsia="Times New Roman" w:hAnsi="Times New Roman" w:cs="Times New Roman"/>
          <w:b/>
          <w:bCs/>
          <w:color w:val="000000"/>
        </w:rPr>
        <w:t>Methods</w:t>
      </w:r>
      <w:r>
        <w:rPr>
          <w:rFonts w:ascii="Times New Roman" w:eastAsia="Times New Roman" w:hAnsi="Times New Roman" w:cs="Times New Roman"/>
          <w:color w:val="000000"/>
        </w:rPr>
        <w:t>: This study has been approved by the institutional review board. Retrospective chart review was performed on the seven-day group. The nursing-led group and the pharmacist M-F group have existing data for analysis. The seven-day group included cultures from October 17, 2019 to March 18, 2020 for patients that have been discharged from the ED.  </w:t>
      </w:r>
    </w:p>
    <w:p w14:paraId="009B4B94" w14:textId="77777777" w:rsidR="003D584E" w:rsidRDefault="003D584E" w:rsidP="003D584E">
      <w:pPr>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60AF2B8E" w14:textId="77777777" w:rsidR="003D584E" w:rsidRDefault="003D584E" w:rsidP="003D584E">
      <w:pPr>
        <w:rPr>
          <w:rFonts w:ascii="Times New Roman" w:eastAsia="Times New Roman" w:hAnsi="Times New Roman" w:cs="Times New Roman"/>
          <w:color w:val="000000"/>
        </w:rPr>
      </w:pPr>
      <w:r>
        <w:rPr>
          <w:rFonts w:ascii="Times New Roman" w:eastAsia="Times New Roman" w:hAnsi="Times New Roman" w:cs="Times New Roman"/>
          <w:b/>
          <w:bCs/>
          <w:color w:val="000000"/>
        </w:rPr>
        <w:t>Results</w:t>
      </w:r>
      <w:r>
        <w:rPr>
          <w:rFonts w:ascii="Times New Roman" w:eastAsia="Times New Roman" w:hAnsi="Times New Roman" w:cs="Times New Roman"/>
          <w:color w:val="000000"/>
        </w:rPr>
        <w:t>: A total of 396 patients were included for chart review. The average TE was 15.4 hours in the seven-day group. This led to decreased TE, compared to the nursing-led group (35.5 hours, P&lt;0.001) and the pharmacist M-F group (20.9 hours, P&lt;0.006). Overall, in the seven-day group 15.8 percent of patients had their prescription sent by a pharmacist. An antibiotic change intervention was performed on 39/60 (65%) patients.</w:t>
      </w:r>
    </w:p>
    <w:p w14:paraId="3B26C8AB" w14:textId="77777777" w:rsidR="003D584E" w:rsidRDefault="003D584E" w:rsidP="003D584E">
      <w:pPr>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59ED2482" w14:textId="77777777" w:rsidR="003D584E" w:rsidRDefault="003D584E" w:rsidP="003D584E">
      <w:pPr>
        <w:rPr>
          <w:rFonts w:ascii="Times New Roman" w:eastAsia="Times New Roman" w:hAnsi="Times New Roman" w:cs="Times New Roman"/>
        </w:rPr>
      </w:pPr>
      <w:r>
        <w:rPr>
          <w:rFonts w:ascii="Times New Roman" w:eastAsia="Times New Roman" w:hAnsi="Times New Roman" w:cs="Times New Roman"/>
          <w:b/>
          <w:bCs/>
          <w:color w:val="000000"/>
        </w:rPr>
        <w:t>Conclusions</w:t>
      </w:r>
      <w:r>
        <w:rPr>
          <w:rFonts w:ascii="Times New Roman" w:eastAsia="Times New Roman" w:hAnsi="Times New Roman" w:cs="Times New Roman"/>
          <w:color w:val="000000"/>
        </w:rPr>
        <w:t>:  The seven-day group resulted in quicker time to culture review compared to previous models. This further reinforces the value of the ED pharmacist and pharmacy residents in the culture review process.</w:t>
      </w:r>
    </w:p>
    <w:p w14:paraId="749F178A" w14:textId="799E67A4"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4CFAE54E" w14:textId="503BBC60"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1EB67CF4" w14:textId="59E45A75"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286F0EBA" w14:textId="4794AF57"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2E17782B" w14:textId="5569E21C"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5A1439DE" w14:textId="54FCD07D"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01D73942" w14:textId="38BC5765" w:rsid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257E2CC2" w14:textId="77777777" w:rsidR="003D584E" w:rsidRPr="003D584E" w:rsidRDefault="003D584E" w:rsidP="003D584E">
      <w:pPr>
        <w:spacing w:line="240" w:lineRule="auto"/>
        <w:rPr>
          <w:rFonts w:ascii="Times New Roman" w:eastAsia="Times New Roman" w:hAnsi="Times New Roman" w:cs="Times New Roman"/>
        </w:rPr>
      </w:pPr>
      <w:r w:rsidRPr="003D584E">
        <w:rPr>
          <w:rFonts w:ascii="Times New Roman" w:eastAsia="Times New Roman" w:hAnsi="Times New Roman" w:cs="Times New Roman"/>
        </w:rPr>
        <w:lastRenderedPageBreak/>
        <w:t xml:space="preserve">EFFECTS OF NASAL MRSA PCR ON DURATION OF VANCOMYCIN THERAPY IN PATIENTS WITH COMMUNITY ACQUIRED PNEUMONIA </w:t>
      </w:r>
    </w:p>
    <w:p w14:paraId="7487CADE" w14:textId="77777777" w:rsidR="003D584E" w:rsidRPr="003D584E" w:rsidRDefault="003D584E" w:rsidP="003D584E">
      <w:pPr>
        <w:spacing w:line="240" w:lineRule="auto"/>
        <w:rPr>
          <w:rFonts w:ascii="Times New Roman" w:eastAsia="Times New Roman" w:hAnsi="Times New Roman" w:cs="Times New Roman"/>
        </w:rPr>
      </w:pPr>
    </w:p>
    <w:p w14:paraId="187E8FED" w14:textId="77777777" w:rsidR="003D584E" w:rsidRPr="003D584E" w:rsidRDefault="003D584E" w:rsidP="003D584E">
      <w:pPr>
        <w:spacing w:line="240" w:lineRule="auto"/>
        <w:rPr>
          <w:rFonts w:ascii="Times New Roman" w:eastAsia="Times New Roman" w:hAnsi="Times New Roman" w:cs="Times New Roman"/>
          <w:u w:val="single"/>
        </w:rPr>
      </w:pPr>
      <w:r w:rsidRPr="003D584E">
        <w:rPr>
          <w:rFonts w:ascii="Times New Roman" w:eastAsia="Times New Roman" w:hAnsi="Times New Roman" w:cs="Times New Roman"/>
          <w:u w:val="single"/>
        </w:rPr>
        <w:t>Wahab A*, Morales J, Garibotto C</w:t>
      </w:r>
    </w:p>
    <w:p w14:paraId="4A643284" w14:textId="77777777" w:rsidR="003D584E" w:rsidRPr="003D584E" w:rsidRDefault="003D584E" w:rsidP="003D584E">
      <w:pPr>
        <w:spacing w:line="240" w:lineRule="auto"/>
        <w:rPr>
          <w:rFonts w:ascii="Times New Roman" w:eastAsia="Times New Roman" w:hAnsi="Times New Roman" w:cs="Times New Roman"/>
          <w:u w:val="single"/>
        </w:rPr>
      </w:pPr>
    </w:p>
    <w:p w14:paraId="00F2CD5F" w14:textId="77777777" w:rsidR="003D584E" w:rsidRPr="003D584E" w:rsidRDefault="003D584E" w:rsidP="003D584E">
      <w:pPr>
        <w:spacing w:line="240" w:lineRule="auto"/>
        <w:rPr>
          <w:rFonts w:ascii="Times New Roman" w:eastAsia="Times New Roman" w:hAnsi="Times New Roman" w:cs="Times New Roman"/>
        </w:rPr>
      </w:pPr>
      <w:r w:rsidRPr="003D584E">
        <w:rPr>
          <w:rFonts w:ascii="Times New Roman" w:eastAsia="Times New Roman" w:hAnsi="Times New Roman" w:cs="Times New Roman"/>
        </w:rPr>
        <w:t>South Shore University Hospital, 301 East Main Street, Bay Shore, NY 11706</w:t>
      </w:r>
    </w:p>
    <w:p w14:paraId="7DBD59B3" w14:textId="77777777" w:rsidR="003D584E" w:rsidRPr="003D584E" w:rsidRDefault="003D584E" w:rsidP="003D584E">
      <w:pPr>
        <w:spacing w:line="240" w:lineRule="auto"/>
        <w:rPr>
          <w:rFonts w:ascii="Times New Roman" w:eastAsia="Times New Roman" w:hAnsi="Times New Roman" w:cs="Times New Roman"/>
        </w:rPr>
      </w:pPr>
    </w:p>
    <w:p w14:paraId="64271DF7" w14:textId="77777777" w:rsidR="003D584E" w:rsidRPr="003D584E" w:rsidRDefault="003D584E" w:rsidP="003D584E">
      <w:pPr>
        <w:spacing w:line="240" w:lineRule="auto"/>
        <w:rPr>
          <w:rFonts w:ascii="Times New Roman" w:eastAsia="Times New Roman" w:hAnsi="Times New Roman" w:cs="Times New Roman"/>
        </w:rPr>
      </w:pPr>
      <w:r w:rsidRPr="003D584E">
        <w:rPr>
          <w:rFonts w:ascii="Times New Roman" w:eastAsia="Times New Roman" w:hAnsi="Times New Roman" w:cs="Times New Roman"/>
          <w:b/>
        </w:rPr>
        <w:t>Background</w:t>
      </w:r>
      <w:r w:rsidRPr="003D584E">
        <w:rPr>
          <w:rFonts w:ascii="Times New Roman" w:eastAsia="Times New Roman" w:hAnsi="Times New Roman" w:cs="Times New Roman"/>
        </w:rPr>
        <w:t xml:space="preserve">: The Infectious Disease Society of America Guidelines for Diagnosis and Treatment of Adults with Community Acquired Pneumonia (CAP) recommend the addition of empiric vancomycin therapy only in patients with defined risk factors for methicillin-resistant </w:t>
      </w:r>
      <w:r w:rsidRPr="003D584E">
        <w:rPr>
          <w:rFonts w:ascii="Times New Roman" w:eastAsia="Times New Roman" w:hAnsi="Times New Roman" w:cs="Times New Roman"/>
          <w:i/>
        </w:rPr>
        <w:t xml:space="preserve">Staphylococcus aureus </w:t>
      </w:r>
      <w:r w:rsidRPr="003D584E">
        <w:rPr>
          <w:rFonts w:ascii="Times New Roman" w:eastAsia="Times New Roman" w:hAnsi="Times New Roman" w:cs="Times New Roman"/>
        </w:rPr>
        <w:t xml:space="preserve">(MRSA). Variabilities in prescribing practice exist and can result in inappropriate vancomycin initiation and/or lack of subsequent de-escalation. The CAP guidelines advocate for the use of a nasal MRSA polymerase chain reaction (PCR) to guide prompt de-escalation of vancomycin therapy. This study will evaluate the effect of the nasal MRSA PCR on the duration of vancomycin therapy in patients with CAP. </w:t>
      </w:r>
    </w:p>
    <w:p w14:paraId="4BB56E5D" w14:textId="77777777" w:rsidR="003D584E" w:rsidRPr="003D584E" w:rsidRDefault="003D584E" w:rsidP="003D584E">
      <w:pPr>
        <w:spacing w:line="240" w:lineRule="auto"/>
        <w:rPr>
          <w:rFonts w:ascii="Times New Roman" w:eastAsia="Times New Roman" w:hAnsi="Times New Roman" w:cs="Times New Roman"/>
        </w:rPr>
      </w:pPr>
    </w:p>
    <w:p w14:paraId="0A57B344" w14:textId="77777777" w:rsidR="003D584E" w:rsidRPr="003D584E" w:rsidRDefault="003D584E" w:rsidP="003D584E">
      <w:pPr>
        <w:spacing w:line="240" w:lineRule="auto"/>
        <w:rPr>
          <w:rFonts w:ascii="Times New Roman" w:eastAsia="Times New Roman" w:hAnsi="Times New Roman" w:cs="Times New Roman"/>
        </w:rPr>
      </w:pPr>
      <w:r w:rsidRPr="003D584E">
        <w:rPr>
          <w:rFonts w:ascii="Times New Roman" w:eastAsia="Times New Roman" w:hAnsi="Times New Roman" w:cs="Times New Roman"/>
          <w:b/>
        </w:rPr>
        <w:t>Objective</w:t>
      </w:r>
      <w:r w:rsidRPr="003D584E">
        <w:rPr>
          <w:rFonts w:ascii="Times New Roman" w:eastAsia="Times New Roman" w:hAnsi="Times New Roman" w:cs="Times New Roman"/>
        </w:rPr>
        <w:t>: The primary outcome was duration of vancomycin therapy. Secondary outcomes included compliance with the CAP guidelines regarding initiation of vancomycin and utilization of blood/sputum cultures, time to discontinuation of vancomycin therapy from negative nasal PCR result, rates of acute kidney injury, length of stay and readmission within 30 days.</w:t>
      </w:r>
    </w:p>
    <w:p w14:paraId="6184E422" w14:textId="77777777" w:rsidR="003D584E" w:rsidRPr="003D584E" w:rsidRDefault="003D584E" w:rsidP="003D584E">
      <w:pPr>
        <w:spacing w:line="240" w:lineRule="auto"/>
        <w:rPr>
          <w:rFonts w:ascii="Times New Roman" w:eastAsia="Times New Roman" w:hAnsi="Times New Roman" w:cs="Times New Roman"/>
        </w:rPr>
      </w:pPr>
    </w:p>
    <w:p w14:paraId="4230E18A" w14:textId="77777777" w:rsidR="003D584E" w:rsidRPr="003D584E" w:rsidRDefault="003D584E" w:rsidP="003D584E">
      <w:pPr>
        <w:spacing w:line="240" w:lineRule="auto"/>
        <w:rPr>
          <w:rFonts w:ascii="Times New Roman" w:eastAsia="Times New Roman" w:hAnsi="Times New Roman" w:cs="Times New Roman"/>
        </w:rPr>
      </w:pPr>
      <w:r w:rsidRPr="003D584E">
        <w:rPr>
          <w:rFonts w:ascii="Times New Roman" w:eastAsia="Times New Roman" w:hAnsi="Times New Roman" w:cs="Times New Roman"/>
          <w:b/>
        </w:rPr>
        <w:t>Methods</w:t>
      </w:r>
      <w:r w:rsidRPr="003D584E">
        <w:rPr>
          <w:rFonts w:ascii="Times New Roman" w:eastAsia="Times New Roman" w:hAnsi="Times New Roman" w:cs="Times New Roman"/>
        </w:rPr>
        <w:t xml:space="preserve">: This is an institutional review board approved, retrospective, single-center chart review including charts from January 1, 2019 through December 31, 2019. Patients were included if they were </w:t>
      </w:r>
      <w:r w:rsidRPr="003D584E">
        <w:rPr>
          <w:rFonts w:ascii="Times New Roman" w:eastAsia="Times New Roman" w:hAnsi="Times New Roman" w:cs="Times New Roman"/>
          <w:u w:val="single"/>
        </w:rPr>
        <w:t>&gt;</w:t>
      </w:r>
      <w:r w:rsidRPr="003D584E">
        <w:rPr>
          <w:rFonts w:ascii="Times New Roman" w:eastAsia="Times New Roman" w:hAnsi="Times New Roman" w:cs="Times New Roman"/>
        </w:rPr>
        <w:t xml:space="preserve">18 years old, had a diagnosis of community acquired pneumonia and were on vancomycin for at least 24 hours. Patients were excluded if they had a concomitant secondary infection during the same admission, on dialysis or had acute kidney injury (AKI) at the time of vancomycin initiation, definitive MRSA infection as diagnosed by blood and/or sputum culture or if vancomycin was utilized as the sole agent for gram-positive coverage. </w:t>
      </w:r>
    </w:p>
    <w:p w14:paraId="68494844" w14:textId="77777777" w:rsidR="003D584E" w:rsidRPr="003D584E" w:rsidRDefault="003D584E" w:rsidP="003D584E">
      <w:pPr>
        <w:spacing w:line="240" w:lineRule="auto"/>
        <w:rPr>
          <w:rFonts w:ascii="Times New Roman" w:eastAsia="Times New Roman" w:hAnsi="Times New Roman" w:cs="Times New Roman"/>
          <w:b/>
        </w:rPr>
      </w:pPr>
    </w:p>
    <w:p w14:paraId="5E665070" w14:textId="77777777" w:rsidR="003D584E" w:rsidRPr="003D584E" w:rsidRDefault="003D584E" w:rsidP="003D584E">
      <w:pPr>
        <w:spacing w:line="240" w:lineRule="auto"/>
        <w:rPr>
          <w:rFonts w:ascii="Times New Roman" w:eastAsia="Times New Roman" w:hAnsi="Times New Roman" w:cs="Times New Roman"/>
        </w:rPr>
      </w:pPr>
      <w:r w:rsidRPr="003D584E">
        <w:rPr>
          <w:rFonts w:ascii="Times New Roman" w:eastAsia="Times New Roman" w:hAnsi="Times New Roman" w:cs="Times New Roman"/>
          <w:b/>
        </w:rPr>
        <w:t>Results</w:t>
      </w:r>
      <w:r w:rsidRPr="003D584E">
        <w:rPr>
          <w:rFonts w:ascii="Times New Roman" w:eastAsia="Times New Roman" w:hAnsi="Times New Roman" w:cs="Times New Roman"/>
        </w:rPr>
        <w:t>: In progress</w:t>
      </w:r>
    </w:p>
    <w:p w14:paraId="1628BC92" w14:textId="77777777" w:rsidR="003D584E" w:rsidRPr="003D584E" w:rsidRDefault="003D584E" w:rsidP="003D584E">
      <w:pPr>
        <w:spacing w:line="240" w:lineRule="auto"/>
        <w:rPr>
          <w:rFonts w:ascii="Times New Roman" w:eastAsia="Times New Roman" w:hAnsi="Times New Roman" w:cs="Times New Roman"/>
        </w:rPr>
      </w:pPr>
    </w:p>
    <w:p w14:paraId="33D6E563" w14:textId="77777777" w:rsidR="003D584E" w:rsidRPr="003D584E" w:rsidRDefault="003D584E" w:rsidP="003D584E">
      <w:pPr>
        <w:spacing w:line="240" w:lineRule="auto"/>
        <w:rPr>
          <w:rFonts w:ascii="Times New Roman" w:eastAsia="Times New Roman" w:hAnsi="Times New Roman" w:cs="Times New Roman"/>
        </w:rPr>
      </w:pPr>
      <w:r w:rsidRPr="003D584E">
        <w:rPr>
          <w:rFonts w:ascii="Times New Roman" w:eastAsia="Times New Roman" w:hAnsi="Times New Roman" w:cs="Times New Roman"/>
          <w:b/>
        </w:rPr>
        <w:t>Conclusion</w:t>
      </w:r>
      <w:r w:rsidRPr="003D584E">
        <w:rPr>
          <w:rFonts w:ascii="Times New Roman" w:eastAsia="Times New Roman" w:hAnsi="Times New Roman" w:cs="Times New Roman"/>
        </w:rPr>
        <w:t>: In progress</w:t>
      </w:r>
    </w:p>
    <w:p w14:paraId="2C717CEF" w14:textId="77777777" w:rsidR="003D584E" w:rsidRPr="003D584E" w:rsidRDefault="003D584E" w:rsidP="003D584E">
      <w:pPr>
        <w:spacing w:line="240" w:lineRule="auto"/>
        <w:rPr>
          <w:rStyle w:val="Strong"/>
          <w:rFonts w:ascii="Times New Roman" w:eastAsia="Times New Roman" w:hAnsi="Times New Roman" w:cs="Times New Roman"/>
          <w:b w:val="0"/>
          <w:i/>
          <w:color w:val="0E101A"/>
          <w:sz w:val="24"/>
          <w:szCs w:val="24"/>
        </w:rPr>
      </w:pPr>
    </w:p>
    <w:p w14:paraId="10FBFF5D" w14:textId="562AD138" w:rsidR="003D584E" w:rsidRDefault="003D584E" w:rsidP="0007657F">
      <w:pPr>
        <w:rPr>
          <w:sz w:val="24"/>
          <w:szCs w:val="24"/>
        </w:rPr>
      </w:pPr>
    </w:p>
    <w:p w14:paraId="43A92B68" w14:textId="4BF31B5C" w:rsidR="003D584E" w:rsidRDefault="003D584E" w:rsidP="0007657F">
      <w:pPr>
        <w:rPr>
          <w:sz w:val="24"/>
          <w:szCs w:val="24"/>
        </w:rPr>
      </w:pPr>
    </w:p>
    <w:p w14:paraId="486D6573" w14:textId="27D9BC21" w:rsidR="003D584E" w:rsidRDefault="003D584E" w:rsidP="0007657F">
      <w:pPr>
        <w:rPr>
          <w:sz w:val="24"/>
          <w:szCs w:val="24"/>
        </w:rPr>
      </w:pPr>
    </w:p>
    <w:p w14:paraId="6712FF2D" w14:textId="5ED43C3C" w:rsidR="003D584E" w:rsidRDefault="003D584E" w:rsidP="0007657F">
      <w:pPr>
        <w:rPr>
          <w:sz w:val="24"/>
          <w:szCs w:val="24"/>
        </w:rPr>
      </w:pPr>
    </w:p>
    <w:p w14:paraId="0F17B04D" w14:textId="1AD34009" w:rsidR="003D584E" w:rsidRDefault="003D584E" w:rsidP="0007657F">
      <w:pPr>
        <w:rPr>
          <w:sz w:val="24"/>
          <w:szCs w:val="24"/>
        </w:rPr>
      </w:pPr>
    </w:p>
    <w:p w14:paraId="79875BEF" w14:textId="77777777" w:rsidR="003D584E" w:rsidRDefault="003D584E" w:rsidP="003D584E">
      <w:pPr>
        <w:pStyle w:val="NormalWeb"/>
        <w:rPr>
          <w:b/>
        </w:rPr>
      </w:pPr>
      <w:r>
        <w:rPr>
          <w:b/>
        </w:rPr>
        <w:lastRenderedPageBreak/>
        <w:t>EFFECT OF DEXMEDETOMIDINE ON THE INCIDENCE AND DURATION OF VASOSPASM IN PATIENTS WITH ANEURYSMAL SUBARACHNOID HEMORRHAGE (ASAH)</w:t>
      </w:r>
    </w:p>
    <w:p w14:paraId="58DEC640" w14:textId="77777777" w:rsidR="003D584E" w:rsidRDefault="003D584E" w:rsidP="003D584E">
      <w:pPr>
        <w:pStyle w:val="NormalWeb"/>
      </w:pPr>
      <w:r>
        <w:rPr>
          <w:u w:val="single"/>
        </w:rPr>
        <w:t>Wahab A*, Holden D</w:t>
      </w:r>
    </w:p>
    <w:p w14:paraId="75686AC6" w14:textId="77777777" w:rsidR="003D584E" w:rsidRDefault="003D584E" w:rsidP="003D584E">
      <w:pPr>
        <w:pStyle w:val="NormalWeb"/>
      </w:pPr>
      <w:r>
        <w:t>Albany Medical Center, 43 New Scotland Ave, Albany, NY 12208</w:t>
      </w:r>
    </w:p>
    <w:p w14:paraId="41D532DA" w14:textId="77777777" w:rsidR="003D584E" w:rsidRDefault="003D584E" w:rsidP="003D584E">
      <w:pPr>
        <w:pStyle w:val="NormalWeb"/>
      </w:pPr>
      <w:r>
        <w:rPr>
          <w:b/>
        </w:rPr>
        <w:t>Background:</w:t>
      </w:r>
      <w:r>
        <w:t xml:space="preserve"> Aneurysmal subarachnoid hemorrhage (aSAH) is a health burden that predisposes patients to cerebral ischemia, due to the vasospasms that may occur. Vasospasms are the narrowing of the cerebral arteries, which poses a risk of potentiating neurological deficits. Recent animal studies have suggested that dexmedetomidine may reduce the incidence of vasospasm or potentially improve neurologic outcomes in patients with aSAH.  However, literature is limited in assessing the effect of dexmedetomidine on the incidence of vasospasm in humans. </w:t>
      </w:r>
    </w:p>
    <w:p w14:paraId="2B0CB807" w14:textId="77777777" w:rsidR="003D584E" w:rsidRDefault="003D584E" w:rsidP="003D584E">
      <w:pPr>
        <w:pStyle w:val="NormalWeb"/>
      </w:pPr>
      <w:r>
        <w:rPr>
          <w:b/>
        </w:rPr>
        <w:t xml:space="preserve">Objective: </w:t>
      </w:r>
      <w:r>
        <w:t xml:space="preserve">The primary objective is to determine if exposure to dexmedetomidine reduces the incidence, persistence or intensity of vasospasm. Secondary endpoints include assessing the rate of adverse reactions from dexmedetomidine in patients with aSAH. </w:t>
      </w:r>
    </w:p>
    <w:p w14:paraId="21FCAE6D" w14:textId="77777777" w:rsidR="003D584E" w:rsidRDefault="003D584E" w:rsidP="003D584E">
      <w:pPr>
        <w:pStyle w:val="NormalWeb"/>
      </w:pPr>
      <w:r>
        <w:rPr>
          <w:b/>
        </w:rPr>
        <w:t>Methods:</w:t>
      </w:r>
      <w:r>
        <w:t xml:space="preserve"> A retrospective cohort of adult patients, with documented aSAH by computerized tomography (CTA), who have received dexmedetomidine for sedation from January 2014 through July 2020, was completed. All clinical research represented was approved by the institutional review board. </w:t>
      </w:r>
    </w:p>
    <w:p w14:paraId="75BC42D1" w14:textId="77777777" w:rsidR="003D584E" w:rsidRDefault="003D584E" w:rsidP="003D584E">
      <w:pPr>
        <w:pStyle w:val="NormalWeb"/>
      </w:pPr>
      <w:r>
        <w:rPr>
          <w:b/>
        </w:rPr>
        <w:t>Results:</w:t>
      </w:r>
      <w:r>
        <w:t xml:space="preserve"> A total of 107 patients were reviewed. Seventy (65%) of the patients included had documented vasospasm during their admission. Of the patients with vasospasm, 38 (54%) patients had persistent vasospasm. Additionally, 25 patients (23%) had adverse reactions from dexmedetomidine, with four patients requiring vasopressor support. </w:t>
      </w:r>
    </w:p>
    <w:p w14:paraId="525C471B" w14:textId="77777777" w:rsidR="003D584E" w:rsidRDefault="003D584E" w:rsidP="003D584E">
      <w:pPr>
        <w:pStyle w:val="NormalWeb"/>
      </w:pPr>
      <w:r>
        <w:rPr>
          <w:b/>
        </w:rPr>
        <w:t>Conclusions:</w:t>
      </w:r>
      <w:r>
        <w:t xml:space="preserve"> Based on the data, dexmedetomidine usage at Albany Medical Center, in aSAH, is associated with higher vasospasm rates when compared to the annual incidence rate of 12-30%. Dexmedetomidine has also been shown to often cause adverse reactions, such as decreased systolic blood pressure, heart rate, and mean arterial pressure, which must be considered.</w:t>
      </w:r>
    </w:p>
    <w:p w14:paraId="354C4661" w14:textId="7BAE82A8" w:rsidR="003D584E" w:rsidRDefault="003D584E" w:rsidP="0007657F">
      <w:pPr>
        <w:rPr>
          <w:sz w:val="24"/>
          <w:szCs w:val="24"/>
        </w:rPr>
      </w:pPr>
    </w:p>
    <w:p w14:paraId="70D75EEA" w14:textId="116128D4" w:rsidR="003D584E" w:rsidRDefault="003D584E" w:rsidP="0007657F">
      <w:pPr>
        <w:rPr>
          <w:sz w:val="24"/>
          <w:szCs w:val="24"/>
        </w:rPr>
      </w:pPr>
    </w:p>
    <w:p w14:paraId="5767FD32" w14:textId="4B693923" w:rsidR="003D584E" w:rsidRDefault="003D584E" w:rsidP="0007657F">
      <w:pPr>
        <w:rPr>
          <w:sz w:val="24"/>
          <w:szCs w:val="24"/>
        </w:rPr>
      </w:pPr>
    </w:p>
    <w:p w14:paraId="1EC1C29E" w14:textId="0A53E525" w:rsidR="003D584E" w:rsidRDefault="003D584E" w:rsidP="0007657F">
      <w:pPr>
        <w:rPr>
          <w:sz w:val="24"/>
          <w:szCs w:val="24"/>
        </w:rPr>
      </w:pPr>
    </w:p>
    <w:p w14:paraId="4F8A6354" w14:textId="0B1171C6" w:rsidR="003D584E" w:rsidRDefault="003D584E" w:rsidP="0007657F">
      <w:pPr>
        <w:rPr>
          <w:sz w:val="24"/>
          <w:szCs w:val="24"/>
        </w:rPr>
      </w:pPr>
    </w:p>
    <w:p w14:paraId="37466DC1" w14:textId="23ED6121" w:rsidR="003D584E" w:rsidRDefault="003D584E" w:rsidP="0007657F">
      <w:pPr>
        <w:rPr>
          <w:sz w:val="24"/>
          <w:szCs w:val="24"/>
        </w:rPr>
      </w:pPr>
    </w:p>
    <w:p w14:paraId="64B3E48F" w14:textId="64543D47" w:rsidR="003D584E" w:rsidRDefault="003D584E" w:rsidP="0007657F">
      <w:pPr>
        <w:rPr>
          <w:sz w:val="24"/>
          <w:szCs w:val="24"/>
        </w:rPr>
      </w:pPr>
    </w:p>
    <w:p w14:paraId="028D5EA0" w14:textId="77777777" w:rsidR="003D584E" w:rsidRPr="003D584E" w:rsidRDefault="003D584E" w:rsidP="003D584E">
      <w:pPr>
        <w:pStyle w:val="NoSpacing"/>
        <w:rPr>
          <w:rFonts w:ascii="Times New Roman" w:hAnsi="Times New Roman" w:cs="Times New Roman"/>
          <w:caps/>
        </w:rPr>
      </w:pPr>
      <w:r w:rsidRPr="003D584E">
        <w:rPr>
          <w:rFonts w:ascii="Times New Roman" w:hAnsi="Times New Roman" w:cs="Times New Roman"/>
          <w:caps/>
        </w:rPr>
        <w:lastRenderedPageBreak/>
        <w:t xml:space="preserve">High-dose methotrexate dosing strategy in primary central nervous system lymphoma </w:t>
      </w:r>
    </w:p>
    <w:p w14:paraId="0473C6A4" w14:textId="77777777" w:rsidR="003D584E" w:rsidRPr="003D584E" w:rsidRDefault="003D584E" w:rsidP="003D584E">
      <w:pPr>
        <w:pStyle w:val="NoSpacing"/>
        <w:rPr>
          <w:rFonts w:ascii="Times New Roman" w:hAnsi="Times New Roman" w:cs="Times New Roman"/>
        </w:rPr>
      </w:pPr>
      <w:r w:rsidRPr="003D584E">
        <w:rPr>
          <w:rFonts w:ascii="Times New Roman" w:hAnsi="Times New Roman" w:cs="Times New Roman"/>
          <w:u w:val="single"/>
        </w:rPr>
        <w:t>Wang A</w:t>
      </w:r>
      <w:r w:rsidRPr="003D584E">
        <w:rPr>
          <w:rFonts w:ascii="Times New Roman" w:hAnsi="Times New Roman" w:cs="Times New Roman"/>
        </w:rPr>
        <w:t xml:space="preserve">*, </w:t>
      </w:r>
      <w:r w:rsidRPr="003D584E">
        <w:rPr>
          <w:rFonts w:ascii="Times New Roman" w:hAnsi="Times New Roman" w:cs="Times New Roman"/>
          <w:u w:val="single"/>
        </w:rPr>
        <w:t>Cirrone F</w:t>
      </w:r>
      <w:r w:rsidRPr="003D584E">
        <w:rPr>
          <w:rFonts w:ascii="Times New Roman" w:hAnsi="Times New Roman" w:cs="Times New Roman"/>
        </w:rPr>
        <w:t xml:space="preserve">, </w:t>
      </w:r>
      <w:r w:rsidRPr="003D584E">
        <w:rPr>
          <w:rFonts w:ascii="Times New Roman" w:hAnsi="Times New Roman" w:cs="Times New Roman"/>
          <w:u w:val="single"/>
        </w:rPr>
        <w:t>De Los Reyes FA</w:t>
      </w:r>
      <w:r w:rsidRPr="003D584E">
        <w:rPr>
          <w:rFonts w:ascii="Times New Roman" w:hAnsi="Times New Roman" w:cs="Times New Roman"/>
        </w:rPr>
        <w:t xml:space="preserve">, </w:t>
      </w:r>
      <w:r w:rsidRPr="003D584E">
        <w:rPr>
          <w:rFonts w:ascii="Times New Roman" w:hAnsi="Times New Roman" w:cs="Times New Roman"/>
          <w:u w:val="single"/>
        </w:rPr>
        <w:t>Papadopoulos J, Saint Fleur-Lominy S, Xiang E</w:t>
      </w:r>
    </w:p>
    <w:p w14:paraId="689842FE" w14:textId="77777777" w:rsidR="003D584E" w:rsidRPr="003D584E" w:rsidRDefault="003D584E" w:rsidP="003D584E">
      <w:pPr>
        <w:pStyle w:val="NoSpacing"/>
        <w:rPr>
          <w:rFonts w:ascii="Times New Roman" w:hAnsi="Times New Roman" w:cs="Times New Roman"/>
        </w:rPr>
      </w:pPr>
      <w:r w:rsidRPr="003D584E">
        <w:rPr>
          <w:rFonts w:ascii="Times New Roman" w:hAnsi="Times New Roman" w:cs="Times New Roman"/>
        </w:rPr>
        <w:t>NYU Langone Health, 550 First Avenue, New York, NY 10016</w:t>
      </w:r>
    </w:p>
    <w:p w14:paraId="344EEAB3" w14:textId="77777777" w:rsidR="003D584E" w:rsidRPr="003D584E" w:rsidRDefault="003D584E" w:rsidP="003D584E">
      <w:pPr>
        <w:pStyle w:val="NoSpacing"/>
        <w:rPr>
          <w:rFonts w:ascii="Times New Roman" w:hAnsi="Times New Roman" w:cs="Times New Roman"/>
          <w:b/>
        </w:rPr>
      </w:pPr>
    </w:p>
    <w:p w14:paraId="528E96D0" w14:textId="77777777" w:rsidR="003D584E" w:rsidRPr="003D584E" w:rsidRDefault="003D584E" w:rsidP="003D584E">
      <w:pPr>
        <w:pStyle w:val="NoSpacing"/>
        <w:rPr>
          <w:rFonts w:ascii="Times New Roman" w:hAnsi="Times New Roman" w:cs="Times New Roman"/>
        </w:rPr>
      </w:pPr>
      <w:r w:rsidRPr="003D584E">
        <w:rPr>
          <w:rFonts w:ascii="Times New Roman" w:hAnsi="Times New Roman" w:cs="Times New Roman"/>
          <w:b/>
        </w:rPr>
        <w:t xml:space="preserve">Background:  </w:t>
      </w:r>
      <w:r w:rsidRPr="003D584E">
        <w:rPr>
          <w:rFonts w:ascii="Times New Roman" w:hAnsi="Times New Roman" w:cs="Times New Roman"/>
        </w:rPr>
        <w:t>Primary Central Nervous System Lymphoma (PCNSL) is a rare type of extranodal non-Hodgkin lymphoma, primarily restricted to the brain, eyes and cerebrospinal fluid, without evidence of systemic spread. The backbone induction therapy for PCNSL is chemoimmunotherapy, consisting of high dose methotrexate (HD-MTX) and rituximab, which can be combined with other cytotoxic agents. The optimal dose of HD-MTX remains unclear, as doses between 1 g/m</w:t>
      </w:r>
      <w:r w:rsidRPr="003D584E">
        <w:rPr>
          <w:rFonts w:ascii="Times New Roman" w:hAnsi="Times New Roman" w:cs="Times New Roman"/>
          <w:vertAlign w:val="superscript"/>
        </w:rPr>
        <w:t>2</w:t>
      </w:r>
      <w:r w:rsidRPr="003D584E">
        <w:rPr>
          <w:rFonts w:ascii="Times New Roman" w:hAnsi="Times New Roman" w:cs="Times New Roman"/>
        </w:rPr>
        <w:t xml:space="preserve"> and 8 g/m</w:t>
      </w:r>
      <w:r w:rsidRPr="003D584E">
        <w:rPr>
          <w:rFonts w:ascii="Times New Roman" w:hAnsi="Times New Roman" w:cs="Times New Roman"/>
          <w:vertAlign w:val="superscript"/>
        </w:rPr>
        <w:t>2</w:t>
      </w:r>
      <w:r w:rsidRPr="003D584E">
        <w:rPr>
          <w:rFonts w:ascii="Times New Roman" w:hAnsi="Times New Roman" w:cs="Times New Roman"/>
        </w:rPr>
        <w:t xml:space="preserve"> have shown to be effective. The British Journal of Haematology guideline emphasizes the importance of a rapid infusion (2-4 hours) of HD-MTX at doses of at least 3 g/m</w:t>
      </w:r>
      <w:r w:rsidRPr="003D584E">
        <w:rPr>
          <w:rFonts w:ascii="Times New Roman" w:hAnsi="Times New Roman" w:cs="Times New Roman"/>
          <w:vertAlign w:val="superscript"/>
        </w:rPr>
        <w:t>2</w:t>
      </w:r>
      <w:r w:rsidRPr="003D584E">
        <w:rPr>
          <w:rFonts w:ascii="Times New Roman" w:hAnsi="Times New Roman" w:cs="Times New Roman"/>
        </w:rPr>
        <w:t xml:space="preserve"> to reach therapeutic target concentrations in the cerebrospinal fluid. At our institution, our standard of care for all de-novo PCNSL patients is HD-MTX dosed at less than 8 g/m</w:t>
      </w:r>
      <w:r w:rsidRPr="003D584E">
        <w:rPr>
          <w:rFonts w:ascii="Times New Roman" w:hAnsi="Times New Roman" w:cs="Times New Roman"/>
          <w:vertAlign w:val="superscript"/>
        </w:rPr>
        <w:t>2</w:t>
      </w:r>
      <w:r w:rsidRPr="003D584E">
        <w:rPr>
          <w:rFonts w:ascii="Times New Roman" w:hAnsi="Times New Roman" w:cs="Times New Roman"/>
        </w:rPr>
        <w:t>, in combination with rituximab.</w:t>
      </w:r>
    </w:p>
    <w:p w14:paraId="433C95D6" w14:textId="77777777" w:rsidR="003D584E" w:rsidRPr="003D584E" w:rsidRDefault="003D584E" w:rsidP="003D584E">
      <w:pPr>
        <w:pStyle w:val="NoSpacing"/>
        <w:rPr>
          <w:rFonts w:ascii="Times New Roman" w:hAnsi="Times New Roman" w:cs="Times New Roman"/>
          <w:b/>
        </w:rPr>
      </w:pPr>
    </w:p>
    <w:p w14:paraId="064CF848" w14:textId="77777777" w:rsidR="003D584E" w:rsidRPr="003D584E" w:rsidRDefault="003D584E" w:rsidP="003D584E">
      <w:pPr>
        <w:pStyle w:val="NoSpacing"/>
        <w:rPr>
          <w:rFonts w:ascii="Times New Roman" w:hAnsi="Times New Roman" w:cs="Times New Roman"/>
        </w:rPr>
      </w:pPr>
      <w:r w:rsidRPr="003D584E">
        <w:rPr>
          <w:rFonts w:ascii="Times New Roman" w:hAnsi="Times New Roman" w:cs="Times New Roman"/>
          <w:b/>
        </w:rPr>
        <w:t xml:space="preserve">Objective: </w:t>
      </w:r>
      <w:r w:rsidRPr="003D584E">
        <w:rPr>
          <w:rFonts w:ascii="Times New Roman" w:hAnsi="Times New Roman" w:cs="Times New Roman"/>
        </w:rPr>
        <w:t>The objective of this study is to evaluate tumor response and safety of our institutional dosing of HD-MTX (dosed at less than 8 g/m</w:t>
      </w:r>
      <w:r w:rsidRPr="003D584E">
        <w:rPr>
          <w:rFonts w:ascii="Times New Roman" w:hAnsi="Times New Roman" w:cs="Times New Roman"/>
          <w:vertAlign w:val="superscript"/>
        </w:rPr>
        <w:t>2</w:t>
      </w:r>
      <w:r w:rsidRPr="003D584E">
        <w:rPr>
          <w:rFonts w:ascii="Times New Roman" w:hAnsi="Times New Roman" w:cs="Times New Roman"/>
        </w:rPr>
        <w:t>), in combination with rituximab, in PCNSL patients.</w:t>
      </w:r>
    </w:p>
    <w:p w14:paraId="51DD84D9" w14:textId="77777777" w:rsidR="003D584E" w:rsidRPr="003D584E" w:rsidRDefault="003D584E" w:rsidP="003D584E">
      <w:pPr>
        <w:pStyle w:val="NoSpacing"/>
        <w:rPr>
          <w:rFonts w:ascii="Times New Roman" w:hAnsi="Times New Roman" w:cs="Times New Roman"/>
          <w:b/>
        </w:rPr>
      </w:pPr>
    </w:p>
    <w:p w14:paraId="3A3E567E" w14:textId="77777777" w:rsidR="003D584E" w:rsidRPr="003D584E" w:rsidRDefault="003D584E" w:rsidP="003D584E">
      <w:pPr>
        <w:pStyle w:val="NoSpacing"/>
        <w:rPr>
          <w:rFonts w:ascii="Times New Roman" w:hAnsi="Times New Roman" w:cs="Times New Roman"/>
        </w:rPr>
      </w:pPr>
      <w:r w:rsidRPr="003D584E">
        <w:rPr>
          <w:rFonts w:ascii="Times New Roman" w:hAnsi="Times New Roman" w:cs="Times New Roman"/>
          <w:b/>
        </w:rPr>
        <w:t xml:space="preserve">Methods: </w:t>
      </w:r>
      <w:r w:rsidRPr="003D584E">
        <w:rPr>
          <w:rFonts w:ascii="Times New Roman" w:hAnsi="Times New Roman" w:cs="Times New Roman"/>
        </w:rPr>
        <w:t>We performed a retrospective, Institutional Review Board approved, observational study at NYU Langone Health of all patients ≥18 years old who were treated with HD-MTX dosed at less than 8 g/m</w:t>
      </w:r>
      <w:r w:rsidRPr="003D584E">
        <w:rPr>
          <w:rFonts w:ascii="Times New Roman" w:hAnsi="Times New Roman" w:cs="Times New Roman"/>
          <w:vertAlign w:val="superscript"/>
        </w:rPr>
        <w:t>2</w:t>
      </w:r>
      <w:r w:rsidRPr="003D584E">
        <w:rPr>
          <w:rFonts w:ascii="Times New Roman" w:hAnsi="Times New Roman" w:cs="Times New Roman"/>
        </w:rPr>
        <w:t xml:space="preserve">, in combination with rituximab for newly diagnosed PCNSL between April 1, 2014 and October 1, 2020. Patients’ demographics, comorbidities, radiology data, laboratory data and details of treatment course were collected based on the retrospective review of electronic health records. Data was evaluated using descriptive statistics. </w:t>
      </w:r>
    </w:p>
    <w:p w14:paraId="0488FB91" w14:textId="77777777" w:rsidR="003D584E" w:rsidRPr="003D584E" w:rsidRDefault="003D584E" w:rsidP="003D584E">
      <w:pPr>
        <w:pStyle w:val="NoSpacing"/>
        <w:rPr>
          <w:rFonts w:ascii="Times New Roman" w:hAnsi="Times New Roman" w:cs="Times New Roman"/>
          <w:b/>
        </w:rPr>
      </w:pPr>
    </w:p>
    <w:p w14:paraId="16278A59" w14:textId="77777777" w:rsidR="003D584E" w:rsidRPr="003D584E" w:rsidRDefault="003D584E" w:rsidP="003D584E">
      <w:pPr>
        <w:pStyle w:val="NoSpacing"/>
        <w:rPr>
          <w:rFonts w:ascii="Times New Roman" w:hAnsi="Times New Roman" w:cs="Times New Roman"/>
          <w:bCs/>
        </w:rPr>
      </w:pPr>
      <w:r w:rsidRPr="003D584E">
        <w:rPr>
          <w:rFonts w:ascii="Times New Roman" w:hAnsi="Times New Roman" w:cs="Times New Roman"/>
          <w:b/>
        </w:rPr>
        <w:t xml:space="preserve">Results: </w:t>
      </w:r>
      <w:r w:rsidRPr="003D584E">
        <w:rPr>
          <w:rFonts w:ascii="Times New Roman" w:hAnsi="Times New Roman" w:cs="Times New Roman"/>
          <w:bCs/>
        </w:rPr>
        <w:t>27 patients were included.</w:t>
      </w:r>
      <w:r w:rsidRPr="003D584E">
        <w:rPr>
          <w:rFonts w:ascii="Times New Roman" w:hAnsi="Times New Roman" w:cs="Times New Roman"/>
          <w:b/>
        </w:rPr>
        <w:t xml:space="preserve"> </w:t>
      </w:r>
      <w:r w:rsidRPr="003D584E">
        <w:rPr>
          <w:rFonts w:ascii="Times New Roman" w:hAnsi="Times New Roman" w:cs="Times New Roman"/>
          <w:bCs/>
        </w:rPr>
        <w:t>Currently in progress of data and statistical analysis.</w:t>
      </w:r>
    </w:p>
    <w:p w14:paraId="05F3334E" w14:textId="77777777" w:rsidR="003D584E" w:rsidRPr="003D584E" w:rsidRDefault="003D584E" w:rsidP="003D584E">
      <w:pPr>
        <w:pStyle w:val="NoSpacing"/>
        <w:rPr>
          <w:rFonts w:ascii="Times New Roman" w:hAnsi="Times New Roman" w:cs="Times New Roman"/>
          <w:b/>
        </w:rPr>
      </w:pPr>
    </w:p>
    <w:p w14:paraId="5E03E8F0" w14:textId="77777777" w:rsidR="003D584E" w:rsidRPr="003D584E" w:rsidRDefault="003D584E" w:rsidP="003D584E">
      <w:pPr>
        <w:pStyle w:val="NoSpacing"/>
        <w:rPr>
          <w:rFonts w:ascii="Times New Roman" w:hAnsi="Times New Roman" w:cs="Times New Roman"/>
        </w:rPr>
      </w:pPr>
      <w:r w:rsidRPr="003D584E">
        <w:rPr>
          <w:rFonts w:ascii="Times New Roman" w:hAnsi="Times New Roman" w:cs="Times New Roman"/>
          <w:b/>
        </w:rPr>
        <w:t xml:space="preserve">Conclusions: </w:t>
      </w:r>
      <w:r w:rsidRPr="003D584E">
        <w:rPr>
          <w:rFonts w:ascii="Times New Roman" w:hAnsi="Times New Roman" w:cs="Times New Roman"/>
        </w:rPr>
        <w:t>In progress.</w:t>
      </w:r>
    </w:p>
    <w:p w14:paraId="0EBFCC40" w14:textId="32AF7C98" w:rsidR="003D584E" w:rsidRDefault="003D584E" w:rsidP="0007657F">
      <w:pPr>
        <w:rPr>
          <w:sz w:val="24"/>
          <w:szCs w:val="24"/>
        </w:rPr>
      </w:pPr>
    </w:p>
    <w:p w14:paraId="114BAA4A" w14:textId="1ED08EE9" w:rsidR="003D584E" w:rsidRDefault="003D584E" w:rsidP="0007657F">
      <w:pPr>
        <w:rPr>
          <w:sz w:val="24"/>
          <w:szCs w:val="24"/>
        </w:rPr>
      </w:pPr>
    </w:p>
    <w:p w14:paraId="420732B2" w14:textId="2930BD64" w:rsidR="003D584E" w:rsidRDefault="003D584E" w:rsidP="0007657F">
      <w:pPr>
        <w:rPr>
          <w:sz w:val="24"/>
          <w:szCs w:val="24"/>
        </w:rPr>
      </w:pPr>
    </w:p>
    <w:p w14:paraId="4DDE804A" w14:textId="6BEC845A" w:rsidR="003D584E" w:rsidRDefault="003D584E" w:rsidP="0007657F">
      <w:pPr>
        <w:rPr>
          <w:sz w:val="24"/>
          <w:szCs w:val="24"/>
        </w:rPr>
      </w:pPr>
    </w:p>
    <w:p w14:paraId="6B9E58FE" w14:textId="34C9027C" w:rsidR="003D584E" w:rsidRDefault="003D584E" w:rsidP="0007657F">
      <w:pPr>
        <w:rPr>
          <w:sz w:val="24"/>
          <w:szCs w:val="24"/>
        </w:rPr>
      </w:pPr>
    </w:p>
    <w:p w14:paraId="1E710C6A" w14:textId="71F60F47" w:rsidR="003D584E" w:rsidRDefault="003D584E" w:rsidP="0007657F">
      <w:pPr>
        <w:rPr>
          <w:sz w:val="24"/>
          <w:szCs w:val="24"/>
        </w:rPr>
      </w:pPr>
    </w:p>
    <w:p w14:paraId="07B50FA8" w14:textId="4826530F" w:rsidR="003D584E" w:rsidRDefault="003D584E" w:rsidP="0007657F">
      <w:pPr>
        <w:rPr>
          <w:sz w:val="24"/>
          <w:szCs w:val="24"/>
        </w:rPr>
      </w:pPr>
    </w:p>
    <w:p w14:paraId="014D34AE" w14:textId="09EA9C9B" w:rsidR="003D584E" w:rsidRDefault="003D584E" w:rsidP="0007657F">
      <w:pPr>
        <w:rPr>
          <w:sz w:val="24"/>
          <w:szCs w:val="24"/>
        </w:rPr>
      </w:pPr>
    </w:p>
    <w:p w14:paraId="08868BED" w14:textId="2CB2C91F" w:rsidR="003D584E" w:rsidRDefault="003D584E" w:rsidP="0007657F">
      <w:pPr>
        <w:rPr>
          <w:sz w:val="24"/>
          <w:szCs w:val="24"/>
        </w:rPr>
      </w:pPr>
    </w:p>
    <w:p w14:paraId="61DA6710" w14:textId="12B0CD3C" w:rsidR="003D584E" w:rsidRDefault="003D584E" w:rsidP="0007657F">
      <w:pPr>
        <w:rPr>
          <w:sz w:val="24"/>
          <w:szCs w:val="24"/>
        </w:rPr>
      </w:pPr>
    </w:p>
    <w:p w14:paraId="23BE2EB2" w14:textId="52122978" w:rsidR="003D584E" w:rsidRDefault="003D584E" w:rsidP="0007657F">
      <w:pPr>
        <w:rPr>
          <w:sz w:val="24"/>
          <w:szCs w:val="24"/>
        </w:rPr>
      </w:pPr>
    </w:p>
    <w:p w14:paraId="1DCDD363" w14:textId="7C333AED" w:rsidR="003D584E" w:rsidRDefault="003D584E" w:rsidP="0007657F">
      <w:pPr>
        <w:rPr>
          <w:sz w:val="24"/>
          <w:szCs w:val="24"/>
        </w:rPr>
      </w:pPr>
    </w:p>
    <w:p w14:paraId="185AC19D" w14:textId="77777777" w:rsidR="003D584E" w:rsidRDefault="003D584E" w:rsidP="003D584E">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IMPACT OF PROVIDER EDUCATION INITIATIVE ON OPIOID USAGE AND PRESCRIBING PATTERNS IN POSTOPERATIVE PATIENTS</w:t>
      </w:r>
    </w:p>
    <w:p w14:paraId="6CC2509D" w14:textId="77777777" w:rsidR="003D584E" w:rsidRDefault="003D584E" w:rsidP="003D584E">
      <w:pPr>
        <w:rPr>
          <w:rFonts w:ascii="Times New Roman" w:eastAsia="Calibri" w:hAnsi="Times New Roman" w:cs="Times New Roman"/>
          <w:sz w:val="24"/>
          <w:szCs w:val="24"/>
        </w:rPr>
      </w:pPr>
    </w:p>
    <w:p w14:paraId="759B9A28" w14:textId="77777777" w:rsidR="003D584E" w:rsidRDefault="003D584E" w:rsidP="003D584E">
      <w:pPr>
        <w:rPr>
          <w:rFonts w:ascii="Times New Roman" w:eastAsia="Calibri" w:hAnsi="Times New Roman" w:cs="Times New Roman"/>
          <w:sz w:val="24"/>
          <w:szCs w:val="24"/>
        </w:rPr>
      </w:pPr>
      <w:r>
        <w:rPr>
          <w:rFonts w:ascii="Times New Roman" w:eastAsia="Calibri" w:hAnsi="Times New Roman" w:cs="Times New Roman"/>
          <w:sz w:val="24"/>
          <w:szCs w:val="24"/>
          <w:u w:val="single"/>
        </w:rPr>
        <w:t>Wilcox N</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Studlack E</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Mckinney C</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Vink T</w:t>
      </w:r>
    </w:p>
    <w:p w14:paraId="6D75EBF0" w14:textId="77777777" w:rsidR="003D584E" w:rsidRDefault="003D584E" w:rsidP="003D584E">
      <w:pPr>
        <w:rPr>
          <w:rFonts w:ascii="Times New Roman" w:eastAsia="Calibri" w:hAnsi="Times New Roman" w:cs="Times New Roman"/>
          <w:sz w:val="24"/>
          <w:szCs w:val="24"/>
        </w:rPr>
      </w:pPr>
    </w:p>
    <w:p w14:paraId="5FE93652" w14:textId="77777777" w:rsidR="003D584E" w:rsidRDefault="003D584E" w:rsidP="003D584E">
      <w:pPr>
        <w:rPr>
          <w:rFonts w:ascii="Times New Roman" w:eastAsia="Calibri" w:hAnsi="Times New Roman" w:cs="Times New Roman"/>
          <w:sz w:val="24"/>
          <w:szCs w:val="24"/>
        </w:rPr>
      </w:pPr>
      <w:r>
        <w:rPr>
          <w:rFonts w:ascii="Times New Roman" w:eastAsia="Calibri" w:hAnsi="Times New Roman" w:cs="Times New Roman"/>
          <w:sz w:val="24"/>
          <w:szCs w:val="24"/>
        </w:rPr>
        <w:t>Mercy Hospital of Buffalo, 565 Abbott Road, Buffalo, NY 14220</w:t>
      </w:r>
    </w:p>
    <w:p w14:paraId="10D5C36E" w14:textId="77777777" w:rsidR="003D584E" w:rsidRDefault="003D584E" w:rsidP="003D584E">
      <w:pPr>
        <w:rPr>
          <w:rFonts w:ascii="Times New Roman" w:eastAsia="Calibri" w:hAnsi="Times New Roman" w:cs="Times New Roman"/>
          <w:sz w:val="24"/>
          <w:szCs w:val="24"/>
        </w:rPr>
      </w:pPr>
    </w:p>
    <w:p w14:paraId="73B70C0E" w14:textId="77777777" w:rsidR="003D584E" w:rsidRDefault="003D584E" w:rsidP="003D584E">
      <w:pPr>
        <w:rPr>
          <w:rFonts w:ascii="Times New Roman" w:eastAsia="Calibri" w:hAnsi="Times New Roman" w:cs="Times New Roman"/>
          <w:sz w:val="24"/>
          <w:szCs w:val="24"/>
        </w:rPr>
      </w:pPr>
      <w:r>
        <w:rPr>
          <w:rFonts w:ascii="Times New Roman" w:eastAsia="Calibri" w:hAnsi="Times New Roman" w:cs="Times New Roman"/>
          <w:b/>
          <w:sz w:val="24"/>
          <w:szCs w:val="24"/>
        </w:rPr>
        <w:t>Purpose</w:t>
      </w:r>
      <w:r>
        <w:rPr>
          <w:rFonts w:ascii="Times New Roman" w:eastAsia="Calibri" w:hAnsi="Times New Roman" w:cs="Times New Roman"/>
          <w:sz w:val="24"/>
          <w:szCs w:val="24"/>
        </w:rPr>
        <w:t>: Opioid prescribing in the United States has steadily increased since 2006 and led to an opioid overdose epidemic that has caused significant mortality throughout the nation.  Many efforts to reduce opioid use are focused on the outpatient setting.  Therefore, the purpose of this study is to examine post- surgical opioid prescribing patterns before and after the implementation of an education initiative in a community teaching hospital.</w:t>
      </w:r>
    </w:p>
    <w:p w14:paraId="50565EA9" w14:textId="77777777" w:rsidR="003D584E" w:rsidRDefault="003D584E" w:rsidP="003D584E">
      <w:pPr>
        <w:rPr>
          <w:rFonts w:ascii="Times New Roman" w:eastAsia="Calibri" w:hAnsi="Times New Roman" w:cs="Times New Roman"/>
          <w:sz w:val="24"/>
          <w:szCs w:val="24"/>
        </w:rPr>
      </w:pPr>
    </w:p>
    <w:p w14:paraId="1C7A50B0" w14:textId="77777777" w:rsidR="003D584E" w:rsidRDefault="003D584E" w:rsidP="003D584E">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Objective:  </w:t>
      </w:r>
      <w:r>
        <w:rPr>
          <w:rFonts w:ascii="Times New Roman" w:eastAsia="Calibri" w:hAnsi="Times New Roman" w:cs="Times New Roman"/>
          <w:sz w:val="24"/>
          <w:szCs w:val="24"/>
        </w:rPr>
        <w:t>The primary objective of this study is to examine the number of opioids used in post-operative patients, both opioid-naïve and experienced, in the form of oral morphine milligram equivalents (OME).  Secondary outcomes include days supply and quantity of opiates prescribed on discharge, and utilization of multimodal pain relief.  Patients transferred to the ICU during their stay, or with a documented history of opioid abuse were excluded from this study</w:t>
      </w:r>
    </w:p>
    <w:p w14:paraId="1B763ADE" w14:textId="77777777" w:rsidR="003D584E" w:rsidRDefault="003D584E" w:rsidP="003D584E">
      <w:pPr>
        <w:rPr>
          <w:rFonts w:ascii="Times New Roman" w:eastAsia="Calibri" w:hAnsi="Times New Roman" w:cs="Times New Roman"/>
          <w:b/>
          <w:sz w:val="24"/>
          <w:szCs w:val="24"/>
        </w:rPr>
      </w:pPr>
    </w:p>
    <w:p w14:paraId="21BD22B4" w14:textId="77777777" w:rsidR="003D584E" w:rsidRDefault="003D584E" w:rsidP="003D584E">
      <w:pPr>
        <w:rPr>
          <w:rFonts w:ascii="Times New Roman" w:eastAsia="Calibri" w:hAnsi="Times New Roman" w:cs="Times New Roman"/>
          <w:sz w:val="24"/>
          <w:szCs w:val="24"/>
        </w:rPr>
      </w:pPr>
      <w:r>
        <w:rPr>
          <w:rFonts w:ascii="Times New Roman" w:eastAsia="Calibri" w:hAnsi="Times New Roman" w:cs="Times New Roman"/>
          <w:b/>
          <w:sz w:val="24"/>
          <w:szCs w:val="24"/>
        </w:rPr>
        <w:t>Methods</w:t>
      </w:r>
      <w:r>
        <w:rPr>
          <w:rFonts w:ascii="Times New Roman" w:eastAsia="Calibri" w:hAnsi="Times New Roman" w:cs="Times New Roman"/>
          <w:sz w:val="24"/>
          <w:szCs w:val="24"/>
        </w:rPr>
        <w:t xml:space="preserve">: The Catholic Health institutional review board approved this study.  This is a retrospective, single- center, pre- post observational cohort study to assess the impact of an educational handout to the surgical service.  Patients will be matched for opioid tolerance to the pre- intervention cohort. </w:t>
      </w:r>
    </w:p>
    <w:p w14:paraId="6FE914E0" w14:textId="77777777" w:rsidR="003D584E" w:rsidRDefault="003D584E" w:rsidP="003D584E">
      <w:pPr>
        <w:rPr>
          <w:rFonts w:ascii="Times New Roman" w:eastAsia="Calibri" w:hAnsi="Times New Roman" w:cs="Times New Roman"/>
          <w:sz w:val="24"/>
          <w:szCs w:val="24"/>
        </w:rPr>
      </w:pPr>
    </w:p>
    <w:p w14:paraId="5BD2CC23" w14:textId="77777777" w:rsidR="003D584E" w:rsidRDefault="003D584E" w:rsidP="003D584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Results: </w:t>
      </w:r>
    </w:p>
    <w:p w14:paraId="40EE30CF" w14:textId="77777777" w:rsidR="003D584E" w:rsidRDefault="003D584E" w:rsidP="003D584E">
      <w:pPr>
        <w:rPr>
          <w:rFonts w:ascii="Times New Roman" w:eastAsia="Calibri" w:hAnsi="Times New Roman" w:cs="Times New Roman"/>
          <w:sz w:val="24"/>
          <w:szCs w:val="24"/>
        </w:rPr>
      </w:pPr>
      <w:r>
        <w:rPr>
          <w:rFonts w:ascii="Times New Roman" w:eastAsia="Calibri" w:hAnsi="Times New Roman" w:cs="Times New Roman"/>
          <w:sz w:val="24"/>
          <w:szCs w:val="24"/>
        </w:rPr>
        <w:t>Pending</w:t>
      </w:r>
    </w:p>
    <w:p w14:paraId="0CD343BA" w14:textId="77777777" w:rsidR="003D584E" w:rsidRDefault="003D584E" w:rsidP="003D584E">
      <w:pPr>
        <w:rPr>
          <w:rFonts w:ascii="Times New Roman" w:eastAsia="Calibri" w:hAnsi="Times New Roman" w:cs="Times New Roman"/>
          <w:sz w:val="24"/>
          <w:szCs w:val="24"/>
        </w:rPr>
      </w:pPr>
    </w:p>
    <w:p w14:paraId="1FD9F7D6" w14:textId="77777777" w:rsidR="003D584E" w:rsidRDefault="003D584E" w:rsidP="003D584E">
      <w:pPr>
        <w:rPr>
          <w:rFonts w:ascii="Times New Roman" w:eastAsia="Calibri" w:hAnsi="Times New Roman" w:cs="Times New Roman"/>
          <w:sz w:val="24"/>
          <w:szCs w:val="24"/>
        </w:rPr>
      </w:pPr>
      <w:r>
        <w:rPr>
          <w:rFonts w:ascii="Times New Roman" w:eastAsia="Calibri" w:hAnsi="Times New Roman" w:cs="Times New Roman"/>
          <w:b/>
          <w:sz w:val="24"/>
          <w:szCs w:val="24"/>
        </w:rPr>
        <w:t>Conclusions</w:t>
      </w:r>
      <w:r>
        <w:rPr>
          <w:rFonts w:ascii="Times New Roman" w:eastAsia="Calibri" w:hAnsi="Times New Roman" w:cs="Times New Roman"/>
          <w:sz w:val="24"/>
          <w:szCs w:val="24"/>
        </w:rPr>
        <w:t xml:space="preserve">: </w:t>
      </w:r>
    </w:p>
    <w:p w14:paraId="0805883D" w14:textId="77777777" w:rsidR="003D584E" w:rsidRDefault="003D584E" w:rsidP="003D584E">
      <w:pPr>
        <w:rPr>
          <w:rFonts w:ascii="Times New Roman" w:eastAsia="Calibri" w:hAnsi="Times New Roman" w:cs="Times New Roman"/>
          <w:sz w:val="24"/>
          <w:szCs w:val="24"/>
        </w:rPr>
      </w:pPr>
      <w:r>
        <w:rPr>
          <w:rFonts w:ascii="Times New Roman" w:eastAsia="Calibri" w:hAnsi="Times New Roman" w:cs="Times New Roman"/>
          <w:sz w:val="24"/>
          <w:szCs w:val="24"/>
        </w:rPr>
        <w:t>Pending</w:t>
      </w:r>
    </w:p>
    <w:p w14:paraId="54689E9E" w14:textId="5748482D" w:rsidR="003D584E" w:rsidRDefault="003D584E" w:rsidP="0007657F">
      <w:pPr>
        <w:rPr>
          <w:sz w:val="24"/>
          <w:szCs w:val="24"/>
        </w:rPr>
      </w:pPr>
    </w:p>
    <w:p w14:paraId="0B05D326" w14:textId="79820263" w:rsidR="003D584E" w:rsidRDefault="003D584E" w:rsidP="0007657F">
      <w:pPr>
        <w:rPr>
          <w:sz w:val="24"/>
          <w:szCs w:val="24"/>
        </w:rPr>
      </w:pPr>
    </w:p>
    <w:p w14:paraId="2E9A1429" w14:textId="68042968" w:rsidR="003D584E" w:rsidRDefault="003D584E" w:rsidP="0007657F">
      <w:pPr>
        <w:rPr>
          <w:sz w:val="24"/>
          <w:szCs w:val="24"/>
        </w:rPr>
      </w:pPr>
    </w:p>
    <w:p w14:paraId="0A12E415" w14:textId="77777777" w:rsidR="003D584E" w:rsidRPr="003D584E" w:rsidRDefault="003D584E" w:rsidP="003D584E">
      <w:pPr>
        <w:spacing w:after="0" w:line="240" w:lineRule="auto"/>
        <w:rPr>
          <w:rFonts w:ascii="Times New Roman" w:hAnsi="Times New Roman" w:cs="Times New Roman"/>
          <w:caps/>
          <w:color w:val="000000" w:themeColor="text1"/>
        </w:rPr>
      </w:pPr>
      <w:r w:rsidRPr="003D584E">
        <w:rPr>
          <w:rFonts w:ascii="Times New Roman" w:hAnsi="Times New Roman" w:cs="Times New Roman"/>
          <w:caps/>
          <w:color w:val="000000" w:themeColor="text1"/>
        </w:rPr>
        <w:lastRenderedPageBreak/>
        <w:t xml:space="preserve">Evaluation of the Transition from Parenteral Anticoagulation to Apixaban or Rivaroxaban in Patients with Acute Venous Thromboembolism </w:t>
      </w:r>
    </w:p>
    <w:p w14:paraId="11C4B0EE" w14:textId="77777777" w:rsidR="003D584E" w:rsidRPr="003D584E" w:rsidRDefault="003D584E" w:rsidP="003D584E">
      <w:pPr>
        <w:spacing w:after="0" w:line="240" w:lineRule="auto"/>
        <w:rPr>
          <w:rFonts w:ascii="Times New Roman" w:hAnsi="Times New Roman" w:cs="Times New Roman"/>
          <w:caps/>
          <w:color w:val="000000" w:themeColor="text1"/>
        </w:rPr>
      </w:pPr>
    </w:p>
    <w:p w14:paraId="41C44FE3" w14:textId="77777777" w:rsidR="003D584E" w:rsidRPr="003D584E" w:rsidRDefault="003D584E" w:rsidP="003D584E">
      <w:pPr>
        <w:spacing w:after="0" w:line="240" w:lineRule="auto"/>
        <w:rPr>
          <w:rFonts w:ascii="Times New Roman" w:hAnsi="Times New Roman" w:cs="Times New Roman"/>
          <w:color w:val="000000" w:themeColor="text1"/>
          <w:u w:val="single"/>
        </w:rPr>
      </w:pPr>
      <w:r w:rsidRPr="003D584E">
        <w:rPr>
          <w:rFonts w:ascii="Times New Roman" w:hAnsi="Times New Roman" w:cs="Times New Roman"/>
          <w:caps/>
          <w:color w:val="000000" w:themeColor="text1"/>
          <w:u w:val="single"/>
        </w:rPr>
        <w:t>W</w:t>
      </w:r>
      <w:r w:rsidRPr="003D584E">
        <w:rPr>
          <w:rFonts w:ascii="Times New Roman" w:hAnsi="Times New Roman" w:cs="Times New Roman"/>
          <w:color w:val="000000" w:themeColor="text1"/>
          <w:u w:val="single"/>
        </w:rPr>
        <w:t>illiams M</w:t>
      </w:r>
      <w:r w:rsidRPr="003D584E">
        <w:rPr>
          <w:rFonts w:ascii="Times New Roman" w:hAnsi="Times New Roman" w:cs="Times New Roman"/>
          <w:color w:val="000000" w:themeColor="text1"/>
        </w:rPr>
        <w:t xml:space="preserve">*, </w:t>
      </w:r>
      <w:r w:rsidRPr="003D584E">
        <w:rPr>
          <w:rFonts w:ascii="Times New Roman" w:hAnsi="Times New Roman" w:cs="Times New Roman"/>
          <w:color w:val="000000" w:themeColor="text1"/>
          <w:u w:val="single"/>
        </w:rPr>
        <w:t>Arnouk S</w:t>
      </w:r>
      <w:r w:rsidRPr="003D584E">
        <w:rPr>
          <w:rFonts w:ascii="Times New Roman" w:hAnsi="Times New Roman" w:cs="Times New Roman"/>
          <w:color w:val="000000" w:themeColor="text1"/>
        </w:rPr>
        <w:t xml:space="preserve">, </w:t>
      </w:r>
      <w:r w:rsidRPr="003D584E">
        <w:rPr>
          <w:rFonts w:ascii="Times New Roman" w:hAnsi="Times New Roman" w:cs="Times New Roman"/>
          <w:color w:val="000000" w:themeColor="text1"/>
          <w:u w:val="single"/>
        </w:rPr>
        <w:t>Raco V,</w:t>
      </w:r>
      <w:r w:rsidRPr="003D584E">
        <w:rPr>
          <w:rFonts w:ascii="Times New Roman" w:hAnsi="Times New Roman" w:cs="Times New Roman"/>
          <w:color w:val="000000" w:themeColor="text1"/>
        </w:rPr>
        <w:t xml:space="preserve"> </w:t>
      </w:r>
      <w:r w:rsidRPr="003D584E">
        <w:rPr>
          <w:rFonts w:ascii="Times New Roman" w:hAnsi="Times New Roman" w:cs="Times New Roman"/>
          <w:color w:val="000000" w:themeColor="text1"/>
          <w:u w:val="single"/>
        </w:rPr>
        <w:t>Papadopoulos J</w:t>
      </w:r>
      <w:r w:rsidRPr="003D584E">
        <w:rPr>
          <w:rFonts w:ascii="Times New Roman" w:hAnsi="Times New Roman" w:cs="Times New Roman"/>
          <w:color w:val="000000" w:themeColor="text1"/>
        </w:rPr>
        <w:t xml:space="preserve">, </w:t>
      </w:r>
      <w:r w:rsidRPr="003D584E">
        <w:rPr>
          <w:rFonts w:ascii="Times New Roman" w:hAnsi="Times New Roman" w:cs="Times New Roman"/>
          <w:color w:val="000000" w:themeColor="text1"/>
          <w:u w:val="single"/>
        </w:rPr>
        <w:t>Ahuja T</w:t>
      </w:r>
    </w:p>
    <w:p w14:paraId="23397E80" w14:textId="77777777" w:rsidR="003D584E" w:rsidRPr="003D584E" w:rsidRDefault="003D584E" w:rsidP="003D584E">
      <w:pPr>
        <w:spacing w:after="0"/>
        <w:rPr>
          <w:rFonts w:ascii="Times New Roman" w:hAnsi="Times New Roman" w:cs="Times New Roman"/>
        </w:rPr>
      </w:pPr>
    </w:p>
    <w:p w14:paraId="6FB6AF77" w14:textId="77777777" w:rsidR="003D584E" w:rsidRPr="003D584E" w:rsidRDefault="003D584E" w:rsidP="003D584E">
      <w:pPr>
        <w:spacing w:after="0"/>
        <w:rPr>
          <w:rFonts w:ascii="Times New Roman" w:hAnsi="Times New Roman" w:cs="Times New Roman"/>
        </w:rPr>
      </w:pPr>
      <w:r w:rsidRPr="003D584E">
        <w:rPr>
          <w:rFonts w:ascii="Times New Roman" w:hAnsi="Times New Roman" w:cs="Times New Roman"/>
          <w:b/>
          <w:bCs/>
        </w:rPr>
        <w:t xml:space="preserve">Background: </w:t>
      </w:r>
      <w:r w:rsidRPr="003D584E">
        <w:rPr>
          <w:rFonts w:ascii="Times New Roman" w:hAnsi="Times New Roman" w:cs="Times New Roman"/>
          <w:bCs/>
        </w:rPr>
        <w:t>Apixaban and rivaroxaban are increasingly utilized for the treatment of venous thromboembolism (VTE) with recommended 7-day and 21-day higher lead-in doses, respectively, before transitioning to maintenance dosing. Patients</w:t>
      </w:r>
      <w:r w:rsidRPr="003D584E">
        <w:rPr>
          <w:rFonts w:ascii="Times New Roman" w:hAnsi="Times New Roman" w:cs="Times New Roman"/>
        </w:rPr>
        <w:t xml:space="preserve"> presenting to the hospital with an acute VTE often receive parenteral anticoagulation prior to transitioning to oral anticoagulation. However, it remains unknown if this 7 and 21 day regimen is clinically warranted in all patients, or if these days can be subtracted from initial parenteral anticoagulation. Real world practices are variable, with some clinicians including the lead-in dose despite adequate parenteral anticoagulation up-front, and other subtracting days of parenteral anticoagulation received from the lead-in.</w:t>
      </w:r>
    </w:p>
    <w:p w14:paraId="4E76668F" w14:textId="77777777" w:rsidR="003D584E" w:rsidRPr="003D584E" w:rsidRDefault="003D584E" w:rsidP="003D584E">
      <w:pPr>
        <w:spacing w:after="0"/>
        <w:rPr>
          <w:rFonts w:ascii="Times New Roman" w:hAnsi="Times New Roman" w:cs="Times New Roman"/>
        </w:rPr>
      </w:pPr>
    </w:p>
    <w:p w14:paraId="2F495F61" w14:textId="77777777" w:rsidR="003D584E" w:rsidRPr="003D584E" w:rsidRDefault="003D584E" w:rsidP="003D584E">
      <w:pPr>
        <w:spacing w:after="0" w:line="240" w:lineRule="auto"/>
        <w:rPr>
          <w:rFonts w:ascii="Times New Roman" w:hAnsi="Times New Roman" w:cs="Times New Roman"/>
          <w:b/>
        </w:rPr>
      </w:pPr>
      <w:r w:rsidRPr="003D584E">
        <w:rPr>
          <w:rFonts w:ascii="Times New Roman" w:hAnsi="Times New Roman" w:cs="Times New Roman"/>
          <w:b/>
        </w:rPr>
        <w:t xml:space="preserve">Objectives: </w:t>
      </w:r>
    </w:p>
    <w:p w14:paraId="2CDCE781" w14:textId="77777777" w:rsidR="003D584E" w:rsidRPr="003D584E" w:rsidRDefault="003D584E" w:rsidP="003D584E">
      <w:pPr>
        <w:spacing w:after="0"/>
        <w:rPr>
          <w:rFonts w:ascii="Times New Roman" w:hAnsi="Times New Roman" w:cs="Times New Roman"/>
        </w:rPr>
      </w:pPr>
      <w:r w:rsidRPr="003D584E">
        <w:rPr>
          <w:rFonts w:ascii="Times New Roman" w:hAnsi="Times New Roman" w:cs="Times New Roman"/>
        </w:rPr>
        <w:t>To describe real-world prescribing patterns and evaluate clinical outcomes including recurrent thrombosis and bleeding rates in patients transitioned from parenteral anticoagulation to apixaban or rivaroxaban for the treatment of acute VTE.</w:t>
      </w:r>
    </w:p>
    <w:p w14:paraId="31A9FC7B" w14:textId="77777777" w:rsidR="003D584E" w:rsidRPr="003D584E" w:rsidRDefault="003D584E" w:rsidP="003D584E">
      <w:pPr>
        <w:spacing w:after="0"/>
        <w:rPr>
          <w:rFonts w:ascii="Times New Roman" w:hAnsi="Times New Roman" w:cs="Times New Roman"/>
        </w:rPr>
      </w:pPr>
    </w:p>
    <w:p w14:paraId="6147D27F" w14:textId="77777777" w:rsidR="003D584E" w:rsidRPr="003D584E" w:rsidRDefault="003D584E" w:rsidP="003D584E">
      <w:pPr>
        <w:spacing w:after="0"/>
        <w:rPr>
          <w:rFonts w:ascii="Times New Roman" w:hAnsi="Times New Roman" w:cs="Times New Roman"/>
        </w:rPr>
      </w:pPr>
      <w:r w:rsidRPr="003D584E">
        <w:rPr>
          <w:rFonts w:ascii="Times New Roman" w:hAnsi="Times New Roman" w:cs="Times New Roman"/>
          <w:b/>
        </w:rPr>
        <w:t xml:space="preserve">Study Design: </w:t>
      </w:r>
    </w:p>
    <w:p w14:paraId="1B634DD9" w14:textId="77777777" w:rsidR="003D584E" w:rsidRPr="003D584E" w:rsidRDefault="003D584E" w:rsidP="003D584E">
      <w:pPr>
        <w:spacing w:after="0"/>
        <w:rPr>
          <w:rFonts w:ascii="Times New Roman" w:hAnsi="Times New Roman" w:cs="Times New Roman"/>
        </w:rPr>
      </w:pPr>
      <w:r w:rsidRPr="003D584E">
        <w:rPr>
          <w:rFonts w:ascii="Times New Roman" w:hAnsi="Times New Roman" w:cs="Times New Roman"/>
        </w:rPr>
        <w:t>This is a retrospective, Institutional Review Board approved, observational study at NYU Langone Health of patients 18 years or older who were treated with rivaroxaban or apixaban for acute symptomatic proximal deep vein thrombosis (DVT) or PE (with or without DVT) that received parenteral anticoagulation with either enoxaparin or heparin for at least 24 hours prior to transition to oral anticoagulation. Patients on anticoagulation prior to admission were excluded, as well as those with heparin-induced thrombocytopenia, anti-phospholipid syndrome, or chronic thromboembolic disease. The primary outcome is tolerability of current practices, defined as a composite of recurrent VTE and major bleeding events.</w:t>
      </w:r>
    </w:p>
    <w:p w14:paraId="4BAE2D09" w14:textId="77777777" w:rsidR="003D584E" w:rsidRPr="003D584E" w:rsidRDefault="003D584E" w:rsidP="003D584E">
      <w:pPr>
        <w:spacing w:after="0"/>
        <w:rPr>
          <w:rFonts w:ascii="Times New Roman" w:hAnsi="Times New Roman" w:cs="Times New Roman"/>
        </w:rPr>
      </w:pPr>
    </w:p>
    <w:p w14:paraId="74029CBD" w14:textId="77777777" w:rsidR="003D584E" w:rsidRPr="003D584E" w:rsidRDefault="003D584E" w:rsidP="003D584E">
      <w:pPr>
        <w:spacing w:after="0"/>
        <w:rPr>
          <w:rFonts w:ascii="Times New Roman" w:hAnsi="Times New Roman" w:cs="Times New Roman"/>
        </w:rPr>
      </w:pPr>
      <w:r w:rsidRPr="003D584E">
        <w:rPr>
          <w:rFonts w:ascii="Times New Roman" w:hAnsi="Times New Roman" w:cs="Times New Roman"/>
          <w:b/>
        </w:rPr>
        <w:t xml:space="preserve">Results: </w:t>
      </w:r>
      <w:r w:rsidRPr="003D584E">
        <w:rPr>
          <w:rFonts w:ascii="Times New Roman" w:hAnsi="Times New Roman" w:cs="Times New Roman"/>
        </w:rPr>
        <w:t>In progress.</w:t>
      </w:r>
    </w:p>
    <w:p w14:paraId="23440323" w14:textId="77777777" w:rsidR="003D584E" w:rsidRPr="003D584E" w:rsidRDefault="003D584E" w:rsidP="003D584E">
      <w:pPr>
        <w:spacing w:after="0"/>
        <w:rPr>
          <w:rFonts w:ascii="Times New Roman" w:hAnsi="Times New Roman" w:cs="Times New Roman"/>
        </w:rPr>
      </w:pPr>
    </w:p>
    <w:p w14:paraId="03390E97" w14:textId="77777777" w:rsidR="003D584E" w:rsidRPr="003D584E" w:rsidRDefault="003D584E" w:rsidP="003D584E">
      <w:pPr>
        <w:spacing w:after="0"/>
        <w:rPr>
          <w:rFonts w:ascii="Times New Roman" w:hAnsi="Times New Roman" w:cs="Times New Roman"/>
        </w:rPr>
      </w:pPr>
      <w:r w:rsidRPr="003D584E">
        <w:rPr>
          <w:rFonts w:ascii="Times New Roman" w:hAnsi="Times New Roman" w:cs="Times New Roman"/>
          <w:b/>
        </w:rPr>
        <w:t xml:space="preserve">Conclusions: </w:t>
      </w:r>
      <w:r w:rsidRPr="003D584E">
        <w:rPr>
          <w:rFonts w:ascii="Times New Roman" w:hAnsi="Times New Roman" w:cs="Times New Roman"/>
        </w:rPr>
        <w:t>In progress.</w:t>
      </w:r>
    </w:p>
    <w:p w14:paraId="3EF16529" w14:textId="77777777" w:rsidR="003D584E" w:rsidRDefault="003D584E" w:rsidP="003D584E">
      <w:pPr>
        <w:spacing w:after="0"/>
      </w:pPr>
    </w:p>
    <w:p w14:paraId="02B563AF" w14:textId="4DC2B97A" w:rsidR="003D584E" w:rsidRDefault="003D584E" w:rsidP="0007657F">
      <w:pPr>
        <w:rPr>
          <w:sz w:val="24"/>
          <w:szCs w:val="24"/>
        </w:rPr>
      </w:pPr>
    </w:p>
    <w:p w14:paraId="42525729" w14:textId="6BE69190" w:rsidR="003D584E" w:rsidRDefault="003D584E" w:rsidP="0007657F">
      <w:pPr>
        <w:rPr>
          <w:sz w:val="24"/>
          <w:szCs w:val="24"/>
        </w:rPr>
      </w:pPr>
    </w:p>
    <w:p w14:paraId="076B4112" w14:textId="38ABF77A" w:rsidR="003D584E" w:rsidRDefault="003D584E" w:rsidP="0007657F">
      <w:pPr>
        <w:rPr>
          <w:sz w:val="24"/>
          <w:szCs w:val="24"/>
        </w:rPr>
      </w:pPr>
    </w:p>
    <w:p w14:paraId="3841D60B" w14:textId="50BD2BDA" w:rsidR="003D584E" w:rsidRDefault="003D584E" w:rsidP="0007657F">
      <w:pPr>
        <w:rPr>
          <w:sz w:val="24"/>
          <w:szCs w:val="24"/>
        </w:rPr>
      </w:pPr>
    </w:p>
    <w:p w14:paraId="04482B75" w14:textId="5FB7D223" w:rsidR="003D584E" w:rsidRDefault="003D584E" w:rsidP="0007657F">
      <w:pPr>
        <w:rPr>
          <w:sz w:val="24"/>
          <w:szCs w:val="24"/>
        </w:rPr>
      </w:pPr>
    </w:p>
    <w:p w14:paraId="2A05701E" w14:textId="2DAAFBDA" w:rsidR="003D584E" w:rsidRDefault="003D584E" w:rsidP="0007657F">
      <w:pPr>
        <w:rPr>
          <w:sz w:val="24"/>
          <w:szCs w:val="24"/>
        </w:rPr>
      </w:pPr>
    </w:p>
    <w:p w14:paraId="138CA294" w14:textId="1545CD14" w:rsidR="003D584E" w:rsidRDefault="003D584E" w:rsidP="0007657F">
      <w:pPr>
        <w:rPr>
          <w:sz w:val="24"/>
          <w:szCs w:val="24"/>
        </w:rPr>
      </w:pPr>
    </w:p>
    <w:p w14:paraId="31D92C6B" w14:textId="7389C887" w:rsidR="003D584E" w:rsidRDefault="003D584E" w:rsidP="0007657F">
      <w:pPr>
        <w:rPr>
          <w:sz w:val="24"/>
          <w:szCs w:val="24"/>
        </w:rPr>
      </w:pPr>
    </w:p>
    <w:p w14:paraId="07DEE413" w14:textId="0CE0584A" w:rsidR="003D584E" w:rsidRDefault="003D584E" w:rsidP="0007657F">
      <w:pPr>
        <w:rPr>
          <w:sz w:val="24"/>
          <w:szCs w:val="24"/>
        </w:rPr>
      </w:pPr>
    </w:p>
    <w:p w14:paraId="04A70CDA" w14:textId="77777777" w:rsidR="003D584E" w:rsidRDefault="003D584E" w:rsidP="003D584E">
      <w:pPr>
        <w:rPr>
          <w:rFonts w:ascii="Times New Roman" w:hAnsi="Times New Roman" w:cs="Times New Roman"/>
          <w:sz w:val="20"/>
          <w:szCs w:val="20"/>
        </w:rPr>
      </w:pPr>
      <w:r>
        <w:rPr>
          <w:rFonts w:ascii="Times New Roman" w:hAnsi="Times New Roman" w:cs="Times New Roman"/>
          <w:sz w:val="20"/>
          <w:szCs w:val="20"/>
        </w:rPr>
        <w:lastRenderedPageBreak/>
        <w:t>EFFECT AND TOLERABILITY OF AMIODARONE FOR ATRIAL FIBRILLATION PROPHYLAXIS POST LOBECTOMY</w:t>
      </w:r>
    </w:p>
    <w:p w14:paraId="17A4BC06" w14:textId="77777777" w:rsidR="003D584E" w:rsidRDefault="003D584E" w:rsidP="003D584E">
      <w:pPr>
        <w:jc w:val="center"/>
        <w:rPr>
          <w:rFonts w:ascii="Times New Roman" w:hAnsi="Times New Roman" w:cs="Times New Roman"/>
          <w:sz w:val="20"/>
          <w:szCs w:val="20"/>
        </w:rPr>
      </w:pPr>
    </w:p>
    <w:p w14:paraId="25CDE7D5" w14:textId="77777777" w:rsidR="003D584E" w:rsidRPr="003D584E" w:rsidRDefault="003D584E" w:rsidP="003D584E">
      <w:pPr>
        <w:rPr>
          <w:rFonts w:ascii="Times New Roman" w:hAnsi="Times New Roman" w:cs="Times New Roman"/>
        </w:rPr>
      </w:pPr>
      <w:r w:rsidRPr="003D584E">
        <w:rPr>
          <w:rFonts w:ascii="Times New Roman" w:hAnsi="Times New Roman" w:cs="Times New Roman"/>
        </w:rPr>
        <w:t>Yuksel JM*, Feldman EA, Seabury R, Miller C, Darko W, Probst L,  Mogle BT</w:t>
      </w:r>
    </w:p>
    <w:p w14:paraId="67438BF3" w14:textId="77777777" w:rsidR="003D584E" w:rsidRPr="003D584E" w:rsidRDefault="003D584E" w:rsidP="003D584E">
      <w:pPr>
        <w:rPr>
          <w:rFonts w:ascii="Times New Roman" w:hAnsi="Times New Roman" w:cs="Times New Roman"/>
        </w:rPr>
      </w:pPr>
    </w:p>
    <w:p w14:paraId="255CE49C" w14:textId="77777777" w:rsidR="003D584E" w:rsidRPr="003D584E" w:rsidRDefault="003D584E" w:rsidP="003D584E">
      <w:pPr>
        <w:rPr>
          <w:rFonts w:ascii="Times New Roman" w:eastAsia="Times New Roman" w:hAnsi="Times New Roman" w:cs="Times New Roman"/>
        </w:rPr>
      </w:pPr>
      <w:r w:rsidRPr="003D584E">
        <w:rPr>
          <w:rFonts w:ascii="Times New Roman" w:hAnsi="Times New Roman" w:cs="Times New Roman"/>
        </w:rPr>
        <w:t xml:space="preserve">Upstate University Hospital, </w:t>
      </w:r>
      <w:r w:rsidRPr="003D584E">
        <w:rPr>
          <w:rFonts w:ascii="Times New Roman" w:eastAsia="Times New Roman" w:hAnsi="Times New Roman" w:cs="Times New Roman"/>
        </w:rPr>
        <w:t>750 East Adams Street Syracuse, NY 13210</w:t>
      </w:r>
    </w:p>
    <w:p w14:paraId="77BB0DC2" w14:textId="77777777" w:rsidR="003D584E" w:rsidRPr="003D584E" w:rsidRDefault="003D584E" w:rsidP="003D584E">
      <w:pPr>
        <w:rPr>
          <w:rFonts w:ascii="Times New Roman" w:hAnsi="Times New Roman" w:cs="Times New Roman"/>
        </w:rPr>
      </w:pPr>
    </w:p>
    <w:p w14:paraId="5E0BCA8E" w14:textId="77777777" w:rsidR="003D584E" w:rsidRPr="003D584E" w:rsidRDefault="003D584E" w:rsidP="003D584E">
      <w:pPr>
        <w:rPr>
          <w:rFonts w:ascii="Times New Roman" w:hAnsi="Times New Roman" w:cs="Times New Roman"/>
          <w:b/>
          <w:bCs/>
        </w:rPr>
      </w:pPr>
      <w:r w:rsidRPr="003D584E">
        <w:rPr>
          <w:rFonts w:ascii="Times New Roman" w:hAnsi="Times New Roman" w:cs="Times New Roman"/>
          <w:b/>
          <w:bCs/>
        </w:rPr>
        <w:t>Background:</w:t>
      </w:r>
    </w:p>
    <w:p w14:paraId="056685D4" w14:textId="77777777" w:rsidR="003D584E" w:rsidRPr="003D584E" w:rsidRDefault="003D584E" w:rsidP="003D584E">
      <w:pPr>
        <w:rPr>
          <w:rFonts w:ascii="Times New Roman" w:hAnsi="Times New Roman" w:cs="Times New Roman"/>
          <w:color w:val="000000"/>
        </w:rPr>
      </w:pPr>
      <w:r w:rsidRPr="003D584E">
        <w:rPr>
          <w:rFonts w:ascii="Times New Roman" w:hAnsi="Times New Roman" w:cs="Times New Roman"/>
        </w:rPr>
        <w:t xml:space="preserve">Atrial fibrillation (AF) is a common postoperative complication of major pulmonary resection. Amiodarone has been shown to reduce the incidence of post-operative AF (POAF) in patients undergoing pulmonary resection via open thoracotomy, however, limited data exists for patients undergoing video-assisted thorascopic surgery (VATS) resection. </w:t>
      </w:r>
    </w:p>
    <w:p w14:paraId="4928BA21" w14:textId="77777777" w:rsidR="003D584E" w:rsidRPr="003D584E" w:rsidRDefault="003D584E" w:rsidP="003D584E">
      <w:pPr>
        <w:rPr>
          <w:rFonts w:ascii="Times New Roman" w:hAnsi="Times New Roman" w:cs="Times New Roman"/>
        </w:rPr>
      </w:pPr>
    </w:p>
    <w:p w14:paraId="3A7972F5" w14:textId="77777777" w:rsidR="003D584E" w:rsidRPr="003D584E" w:rsidRDefault="003D584E" w:rsidP="003D584E">
      <w:pPr>
        <w:rPr>
          <w:rFonts w:ascii="Times New Roman" w:hAnsi="Times New Roman" w:cs="Times New Roman"/>
          <w:b/>
          <w:bCs/>
        </w:rPr>
      </w:pPr>
      <w:r w:rsidRPr="003D584E">
        <w:rPr>
          <w:rFonts w:ascii="Times New Roman" w:hAnsi="Times New Roman" w:cs="Times New Roman"/>
          <w:b/>
          <w:bCs/>
        </w:rPr>
        <w:t>Objective:</w:t>
      </w:r>
    </w:p>
    <w:p w14:paraId="603BFB37" w14:textId="77777777" w:rsidR="003D584E" w:rsidRPr="003D584E" w:rsidRDefault="003D584E" w:rsidP="003D584E">
      <w:pPr>
        <w:rPr>
          <w:rFonts w:ascii="Times New Roman" w:hAnsi="Times New Roman" w:cs="Times New Roman"/>
          <w:b/>
          <w:bCs/>
        </w:rPr>
      </w:pPr>
      <w:r w:rsidRPr="003D584E">
        <w:rPr>
          <w:rFonts w:ascii="Times New Roman" w:hAnsi="Times New Roman" w:cs="Times New Roman"/>
          <w:color w:val="000000"/>
        </w:rPr>
        <w:t xml:space="preserve">The primary objective was to compare rates of POAF in patients undergoing VATS lobectomy who received amiodarone versus no treatment. Secondary outcomes included the incidence of acute drug-related side effects including bradycardia, hypotension, and QTc prolongation. </w:t>
      </w:r>
    </w:p>
    <w:p w14:paraId="7821617E" w14:textId="77777777" w:rsidR="003D584E" w:rsidRPr="003D584E" w:rsidRDefault="003D584E" w:rsidP="003D584E">
      <w:pPr>
        <w:rPr>
          <w:rFonts w:ascii="Times New Roman" w:hAnsi="Times New Roman" w:cs="Times New Roman"/>
        </w:rPr>
      </w:pPr>
    </w:p>
    <w:p w14:paraId="33A609EC" w14:textId="77777777" w:rsidR="003D584E" w:rsidRPr="003D584E" w:rsidRDefault="003D584E" w:rsidP="003D584E">
      <w:pPr>
        <w:rPr>
          <w:rFonts w:ascii="Times New Roman" w:hAnsi="Times New Roman" w:cs="Times New Roman"/>
          <w:b/>
          <w:bCs/>
        </w:rPr>
      </w:pPr>
      <w:r w:rsidRPr="003D584E">
        <w:rPr>
          <w:rFonts w:ascii="Times New Roman" w:hAnsi="Times New Roman" w:cs="Times New Roman"/>
          <w:b/>
          <w:bCs/>
        </w:rPr>
        <w:t>Methods:</w:t>
      </w:r>
    </w:p>
    <w:p w14:paraId="03D772FD" w14:textId="77777777" w:rsidR="003D584E" w:rsidRPr="003D584E" w:rsidRDefault="003D584E" w:rsidP="003D584E">
      <w:pPr>
        <w:rPr>
          <w:rFonts w:ascii="Times New Roman" w:hAnsi="Times New Roman" w:cs="Times New Roman"/>
        </w:rPr>
      </w:pPr>
      <w:r w:rsidRPr="003D584E">
        <w:rPr>
          <w:rFonts w:ascii="Times New Roman" w:hAnsi="Times New Roman" w:cs="Times New Roman"/>
        </w:rPr>
        <w:t xml:space="preserve">Retrospective, single-center, chart review including adult patients who underwent VATS lobectomy from 01/2018 – 12/2020. Patients with a pacemaker, history of AF or atrial flutter, HR &lt;60 or systolic blood pressure &lt;90 prior to lobectomy, or current use of class I/III antiarrhythmics were excluded. Patients were matched in a 1:1 ratio based on CHADS2VASC risk score. </w:t>
      </w:r>
    </w:p>
    <w:p w14:paraId="7B62F5A0" w14:textId="77777777" w:rsidR="003D584E" w:rsidRPr="003D584E" w:rsidRDefault="003D584E" w:rsidP="003D584E">
      <w:pPr>
        <w:rPr>
          <w:rFonts w:ascii="Times New Roman" w:hAnsi="Times New Roman" w:cs="Times New Roman"/>
        </w:rPr>
      </w:pPr>
      <w:r w:rsidRPr="003D584E">
        <w:rPr>
          <w:rFonts w:ascii="Times New Roman" w:hAnsi="Times New Roman" w:cs="Times New Roman"/>
        </w:rPr>
        <w:t xml:space="preserve"> </w:t>
      </w:r>
    </w:p>
    <w:p w14:paraId="1E75F14A" w14:textId="77777777" w:rsidR="003D584E" w:rsidRPr="003D584E" w:rsidRDefault="003D584E" w:rsidP="003D584E">
      <w:pPr>
        <w:rPr>
          <w:rFonts w:ascii="Times New Roman" w:hAnsi="Times New Roman" w:cs="Times New Roman"/>
          <w:b/>
          <w:bCs/>
        </w:rPr>
      </w:pPr>
      <w:r w:rsidRPr="003D584E">
        <w:rPr>
          <w:rFonts w:ascii="Times New Roman" w:hAnsi="Times New Roman" w:cs="Times New Roman"/>
          <w:b/>
          <w:bCs/>
        </w:rPr>
        <w:t>Results:</w:t>
      </w:r>
    </w:p>
    <w:p w14:paraId="2DB66898" w14:textId="77777777" w:rsidR="003D584E" w:rsidRPr="003D584E" w:rsidRDefault="003D584E" w:rsidP="003D584E">
      <w:pPr>
        <w:rPr>
          <w:rFonts w:ascii="Times New Roman" w:hAnsi="Times New Roman" w:cs="Times New Roman"/>
        </w:rPr>
      </w:pPr>
      <w:r w:rsidRPr="003D584E">
        <w:rPr>
          <w:rFonts w:ascii="Times New Roman" w:hAnsi="Times New Roman" w:cs="Times New Roman"/>
        </w:rPr>
        <w:t xml:space="preserve">POAF occurred more frequently in the amiodarone group versus the non-amiodarone group, but was not statistically significant (n=10 [15.4%] vs. n=5 (7.7%); p = 0.272). Rates of post-operative bradycardia, hypotension and QTc prolongation were also similar between groups. </w:t>
      </w:r>
    </w:p>
    <w:p w14:paraId="49D75859" w14:textId="77777777" w:rsidR="003D584E" w:rsidRPr="003D584E" w:rsidRDefault="003D584E" w:rsidP="003D584E">
      <w:pPr>
        <w:rPr>
          <w:rFonts w:ascii="Times New Roman" w:hAnsi="Times New Roman" w:cs="Times New Roman"/>
        </w:rPr>
      </w:pPr>
    </w:p>
    <w:p w14:paraId="656532F5" w14:textId="77777777" w:rsidR="003D584E" w:rsidRPr="003D584E" w:rsidRDefault="003D584E" w:rsidP="003D584E">
      <w:pPr>
        <w:rPr>
          <w:rFonts w:ascii="Times New Roman" w:hAnsi="Times New Roman" w:cs="Times New Roman"/>
          <w:b/>
          <w:bCs/>
        </w:rPr>
      </w:pPr>
      <w:r w:rsidRPr="003D584E">
        <w:rPr>
          <w:rFonts w:ascii="Times New Roman" w:hAnsi="Times New Roman" w:cs="Times New Roman"/>
          <w:b/>
          <w:bCs/>
        </w:rPr>
        <w:t xml:space="preserve">Conclusions: </w:t>
      </w:r>
    </w:p>
    <w:p w14:paraId="7660DF08" w14:textId="77777777" w:rsidR="003D584E" w:rsidRPr="003D584E" w:rsidRDefault="003D584E" w:rsidP="003D584E">
      <w:pPr>
        <w:rPr>
          <w:rFonts w:ascii="Times New Roman" w:hAnsi="Times New Roman" w:cs="Times New Roman"/>
        </w:rPr>
      </w:pPr>
      <w:r w:rsidRPr="003D584E">
        <w:rPr>
          <w:rFonts w:ascii="Times New Roman" w:hAnsi="Times New Roman" w:cs="Times New Roman"/>
        </w:rPr>
        <w:t xml:space="preserve">Prophylactic amiodarone did not decrease rates POAF in patients undergoing VATS lobectomy in our cohort. Future studies should attempt to identify potential subgroups who may benefit from amiodarone prophylaxis when undergoing VATS pulmonary resection. </w:t>
      </w:r>
    </w:p>
    <w:p w14:paraId="15A7C8E1" w14:textId="7D5923AC" w:rsidR="003D584E" w:rsidRDefault="003D584E" w:rsidP="0007657F">
      <w:pPr>
        <w:rPr>
          <w:sz w:val="24"/>
          <w:szCs w:val="24"/>
        </w:rPr>
      </w:pPr>
    </w:p>
    <w:p w14:paraId="5FBA81BB" w14:textId="110FD3B4" w:rsidR="003D584E" w:rsidRDefault="003D584E" w:rsidP="0007657F">
      <w:pPr>
        <w:rPr>
          <w:sz w:val="24"/>
          <w:szCs w:val="24"/>
        </w:rPr>
      </w:pPr>
    </w:p>
    <w:p w14:paraId="2BF4BC92" w14:textId="77777777" w:rsidR="003D584E" w:rsidRPr="003D584E" w:rsidRDefault="003D584E" w:rsidP="003D584E">
      <w:pPr>
        <w:rPr>
          <w:rFonts w:ascii="Times New Roman" w:hAnsi="Times New Roman" w:cs="Times New Roman"/>
        </w:rPr>
      </w:pPr>
      <w:r w:rsidRPr="003D584E">
        <w:rPr>
          <w:rFonts w:ascii="Times New Roman" w:hAnsi="Times New Roman" w:cs="Times New Roman"/>
        </w:rPr>
        <w:lastRenderedPageBreak/>
        <w:t xml:space="preserve">EVALUATION OF STANDARDIZED NEONATAL EMPIRIC VANCOMYCIN DOSING IN NEONATAL SEPSIS: A RETROSPECTIVE STUDY OF CURRENT VANCOMYCIN DOSING PRACTICES </w:t>
      </w:r>
    </w:p>
    <w:p w14:paraId="66F2EB9A" w14:textId="77777777" w:rsidR="003D584E" w:rsidRPr="003D584E" w:rsidRDefault="003D584E" w:rsidP="003D584E">
      <w:pPr>
        <w:rPr>
          <w:rFonts w:ascii="Times New Roman" w:hAnsi="Times New Roman" w:cs="Times New Roman"/>
        </w:rPr>
      </w:pPr>
      <w:r w:rsidRPr="003D584E">
        <w:rPr>
          <w:rFonts w:ascii="Times New Roman" w:hAnsi="Times New Roman" w:cs="Times New Roman"/>
        </w:rPr>
        <w:t>Zarudna K, Baldo, M.</w:t>
      </w:r>
    </w:p>
    <w:p w14:paraId="1045667D" w14:textId="77777777" w:rsidR="003D584E" w:rsidRPr="003D584E" w:rsidRDefault="003D584E" w:rsidP="003D584E">
      <w:pPr>
        <w:rPr>
          <w:rFonts w:ascii="Times New Roman" w:hAnsi="Times New Roman" w:cs="Times New Roman"/>
        </w:rPr>
      </w:pPr>
      <w:r w:rsidRPr="003D584E">
        <w:rPr>
          <w:rFonts w:ascii="Times New Roman" w:hAnsi="Times New Roman" w:cs="Times New Roman"/>
        </w:rPr>
        <w:t>Sisters of Charity Hospital, 2157 Main St, Buffalo, NY</w:t>
      </w:r>
    </w:p>
    <w:p w14:paraId="51798055" w14:textId="77777777" w:rsidR="003D584E" w:rsidRPr="003D584E" w:rsidRDefault="003D584E" w:rsidP="003D584E">
      <w:pPr>
        <w:rPr>
          <w:rFonts w:ascii="Times New Roman" w:hAnsi="Times New Roman" w:cs="Times New Roman"/>
        </w:rPr>
      </w:pPr>
      <w:r w:rsidRPr="003D584E">
        <w:rPr>
          <w:rFonts w:ascii="Times New Roman" w:hAnsi="Times New Roman" w:cs="Times New Roman"/>
          <w:b/>
        </w:rPr>
        <w:t>Background</w:t>
      </w:r>
      <w:r w:rsidRPr="003D584E">
        <w:rPr>
          <w:rFonts w:ascii="Times New Roman" w:hAnsi="Times New Roman" w:cs="Times New Roman"/>
        </w:rPr>
        <w:t xml:space="preserve">: Neonatal differences in PK/PD parameters make it difficult to follow standard dosing regimens. Antimicrobial stewardship programs call for vancomycin trough and AUC/MIC target optimization in order to prevent antibiotic resistance and to decrease toxicity. </w:t>
      </w:r>
    </w:p>
    <w:p w14:paraId="3D3D1C30" w14:textId="77777777" w:rsidR="003D584E" w:rsidRPr="003D584E" w:rsidRDefault="003D584E" w:rsidP="003D584E">
      <w:pPr>
        <w:rPr>
          <w:rFonts w:ascii="Times New Roman" w:hAnsi="Times New Roman" w:cs="Times New Roman"/>
        </w:rPr>
      </w:pPr>
      <w:r w:rsidRPr="003D584E">
        <w:rPr>
          <w:rFonts w:ascii="Times New Roman" w:hAnsi="Times New Roman" w:cs="Times New Roman"/>
          <w:b/>
        </w:rPr>
        <w:t>Objective</w:t>
      </w:r>
      <w:r w:rsidRPr="003D584E">
        <w:rPr>
          <w:rFonts w:ascii="Times New Roman" w:hAnsi="Times New Roman" w:cs="Times New Roman"/>
        </w:rPr>
        <w:t>: The objective is to evaluate the efficacy of an empiric NeoFax-based vancomycin dosing regimen in terms of achieving the appropriate therapeutic target levels in the neonatal population.</w:t>
      </w:r>
    </w:p>
    <w:p w14:paraId="6C6F3913" w14:textId="77777777" w:rsidR="003D584E" w:rsidRPr="003D584E" w:rsidRDefault="003D584E" w:rsidP="003D584E">
      <w:pPr>
        <w:rPr>
          <w:rFonts w:ascii="Times New Roman" w:hAnsi="Times New Roman" w:cs="Times New Roman"/>
        </w:rPr>
      </w:pPr>
      <w:r w:rsidRPr="003D584E">
        <w:rPr>
          <w:rFonts w:ascii="Times New Roman" w:hAnsi="Times New Roman" w:cs="Times New Roman"/>
          <w:b/>
        </w:rPr>
        <w:t>Methods</w:t>
      </w:r>
      <w:r w:rsidRPr="003D584E">
        <w:rPr>
          <w:rFonts w:ascii="Times New Roman" w:hAnsi="Times New Roman" w:cs="Times New Roman"/>
        </w:rPr>
        <w:t xml:space="preserve">: This study was a retrospective chart review of initial empiric vancomycin regimens received by patients in a Level III NICU from January 2018 until August 2020. Total number of vancomycin doses evaluated was n=182. The goal vancomycin trough was between 10-20 mcg/mL. The AUC/MIC ratio was calculated using the Le et al. method. An AUC/MIC ratio of 400-600 was evaluated for achieving safe and effective dosing regimens in accordance with guidelines for treatment of MRSA infections. </w:t>
      </w:r>
    </w:p>
    <w:p w14:paraId="01ED6D5D" w14:textId="77777777" w:rsidR="003D584E" w:rsidRPr="003D584E" w:rsidRDefault="003D584E" w:rsidP="003D584E">
      <w:pPr>
        <w:rPr>
          <w:rFonts w:ascii="Times New Roman" w:hAnsi="Times New Roman" w:cs="Times New Roman"/>
        </w:rPr>
      </w:pPr>
      <w:r w:rsidRPr="003D584E">
        <w:rPr>
          <w:rFonts w:ascii="Times New Roman" w:hAnsi="Times New Roman" w:cs="Times New Roman"/>
          <w:b/>
        </w:rPr>
        <w:t>Results</w:t>
      </w:r>
      <w:r w:rsidRPr="003D584E">
        <w:rPr>
          <w:rFonts w:ascii="Times New Roman" w:hAnsi="Times New Roman" w:cs="Times New Roman"/>
        </w:rPr>
        <w:t xml:space="preserve">: A total of 65 data points were included. The NeoFax-based vancomycin dosing protocol achieved troughs of 10-20 mcg/mL 19/65 (29.2%) of the time. This protocol achieved the goal AUC/MIC range of 400-600 30/65 (46.2%) of the time after the initial dose. A therapeutic AUC/MIC above 400 was achieved in 45/65 (69.2%) of the evaluated points. None of the patients had a serum creatinine above 1.5 g/dL or had supertherapeutic levels or drug toxicities during the study period.  </w:t>
      </w:r>
    </w:p>
    <w:p w14:paraId="27396208" w14:textId="0A3B0C9A" w:rsidR="003D584E" w:rsidRDefault="003D584E" w:rsidP="003D584E">
      <w:pPr>
        <w:rPr>
          <w:rFonts w:ascii="Times New Roman" w:hAnsi="Times New Roman" w:cs="Times New Roman"/>
        </w:rPr>
      </w:pPr>
      <w:r w:rsidRPr="003D584E">
        <w:rPr>
          <w:rFonts w:ascii="Times New Roman" w:hAnsi="Times New Roman" w:cs="Times New Roman"/>
          <w:b/>
        </w:rPr>
        <w:t>Conclusions</w:t>
      </w:r>
      <w:r w:rsidRPr="003D584E">
        <w:rPr>
          <w:rFonts w:ascii="Times New Roman" w:hAnsi="Times New Roman" w:cs="Times New Roman"/>
        </w:rPr>
        <w:t>: The NeoFax-based empiric vancomycin dosing protocol was not effective at achieving therapeutic troughs in the majority of patients. The ideal AUC/MIC of 400-600 was achieved by 46.2% of the patients, suggesting the protocol can be improved.</w:t>
      </w:r>
    </w:p>
    <w:p w14:paraId="165F1C4C" w14:textId="59CD4835" w:rsidR="003D584E" w:rsidRDefault="003D584E" w:rsidP="003D584E">
      <w:pPr>
        <w:rPr>
          <w:rFonts w:ascii="Times New Roman" w:hAnsi="Times New Roman" w:cs="Times New Roman"/>
        </w:rPr>
      </w:pPr>
    </w:p>
    <w:p w14:paraId="3357FFD5" w14:textId="51FE5B68" w:rsidR="003D584E" w:rsidRDefault="003D584E" w:rsidP="003D584E">
      <w:pPr>
        <w:rPr>
          <w:rFonts w:ascii="Times New Roman" w:hAnsi="Times New Roman" w:cs="Times New Roman"/>
        </w:rPr>
      </w:pPr>
    </w:p>
    <w:p w14:paraId="26057422" w14:textId="3A44FD8A" w:rsidR="003D584E" w:rsidRDefault="003D584E" w:rsidP="003D584E">
      <w:pPr>
        <w:rPr>
          <w:rFonts w:ascii="Times New Roman" w:hAnsi="Times New Roman" w:cs="Times New Roman"/>
        </w:rPr>
      </w:pPr>
    </w:p>
    <w:p w14:paraId="03BF7206" w14:textId="62861051" w:rsidR="003D584E" w:rsidRDefault="003D584E" w:rsidP="003D584E">
      <w:pPr>
        <w:rPr>
          <w:rFonts w:ascii="Times New Roman" w:hAnsi="Times New Roman" w:cs="Times New Roman"/>
        </w:rPr>
      </w:pPr>
    </w:p>
    <w:p w14:paraId="4C2CDFD9" w14:textId="70945B4D" w:rsidR="003D584E" w:rsidRDefault="003D584E" w:rsidP="003D584E">
      <w:pPr>
        <w:rPr>
          <w:rFonts w:ascii="Times New Roman" w:hAnsi="Times New Roman" w:cs="Times New Roman"/>
        </w:rPr>
      </w:pPr>
    </w:p>
    <w:p w14:paraId="067F8027" w14:textId="6464104A" w:rsidR="003D584E" w:rsidRDefault="003D584E" w:rsidP="003D584E">
      <w:pPr>
        <w:rPr>
          <w:rFonts w:ascii="Times New Roman" w:hAnsi="Times New Roman" w:cs="Times New Roman"/>
        </w:rPr>
      </w:pPr>
    </w:p>
    <w:p w14:paraId="6DD1C298" w14:textId="232327A6" w:rsidR="003D584E" w:rsidRDefault="003D584E" w:rsidP="003D584E">
      <w:pPr>
        <w:rPr>
          <w:rFonts w:ascii="Times New Roman" w:hAnsi="Times New Roman" w:cs="Times New Roman"/>
        </w:rPr>
      </w:pPr>
    </w:p>
    <w:p w14:paraId="16B4CA79" w14:textId="30C83C28" w:rsidR="003D584E" w:rsidRDefault="003D584E" w:rsidP="003D584E">
      <w:pPr>
        <w:rPr>
          <w:rFonts w:ascii="Times New Roman" w:hAnsi="Times New Roman" w:cs="Times New Roman"/>
        </w:rPr>
      </w:pPr>
    </w:p>
    <w:p w14:paraId="0CB886DA" w14:textId="1E1A1524" w:rsidR="003D584E" w:rsidRDefault="003D584E" w:rsidP="003D584E">
      <w:pPr>
        <w:rPr>
          <w:rFonts w:ascii="Times New Roman" w:hAnsi="Times New Roman" w:cs="Times New Roman"/>
        </w:rPr>
      </w:pPr>
    </w:p>
    <w:p w14:paraId="69A9C58A" w14:textId="310C3991" w:rsidR="003D584E" w:rsidRDefault="003D584E" w:rsidP="003D584E">
      <w:pPr>
        <w:rPr>
          <w:rFonts w:ascii="Times New Roman" w:hAnsi="Times New Roman" w:cs="Times New Roman"/>
        </w:rPr>
      </w:pPr>
    </w:p>
    <w:p w14:paraId="3D0941DF" w14:textId="2730EBD1" w:rsidR="003D584E" w:rsidRDefault="003D584E" w:rsidP="003D584E">
      <w:pPr>
        <w:rPr>
          <w:rFonts w:ascii="Times New Roman" w:hAnsi="Times New Roman" w:cs="Times New Roman"/>
        </w:rPr>
      </w:pPr>
    </w:p>
    <w:p w14:paraId="1AD388AB" w14:textId="402ED67F" w:rsidR="003D584E" w:rsidRDefault="003D584E" w:rsidP="003D584E">
      <w:pPr>
        <w:rPr>
          <w:rFonts w:ascii="Times New Roman" w:hAnsi="Times New Roman" w:cs="Times New Roman"/>
        </w:rPr>
      </w:pPr>
    </w:p>
    <w:p w14:paraId="5FE79FD3" w14:textId="53EB4BC0" w:rsidR="003D584E" w:rsidRDefault="003D584E" w:rsidP="003D584E">
      <w:pPr>
        <w:rPr>
          <w:rFonts w:ascii="Times New Roman" w:hAnsi="Times New Roman" w:cs="Times New Roman"/>
        </w:rPr>
      </w:pPr>
    </w:p>
    <w:p w14:paraId="48BA8E2F" w14:textId="77777777" w:rsidR="001C52EB" w:rsidRDefault="001C52EB" w:rsidP="001C52EB">
      <w:pPr>
        <w:rPr>
          <w:rFonts w:ascii="Times New Roman" w:hAnsi="Times New Roman" w:cs="Times New Roman"/>
          <w:sz w:val="24"/>
          <w:szCs w:val="24"/>
        </w:rPr>
      </w:pPr>
      <w:r>
        <w:rPr>
          <w:rFonts w:ascii="Times New Roman" w:hAnsi="Times New Roman" w:cs="Times New Roman"/>
          <w:sz w:val="24"/>
          <w:szCs w:val="24"/>
        </w:rPr>
        <w:lastRenderedPageBreak/>
        <w:t>EVALUATING ANTI-XA LEVELS IN PATIENTS WITH PULMONARY EMBOLISM DURING THE FIRST 48 HOURS OF ANTICOAGUATION WITH UNFRACTIONATED HEPARIN</w:t>
      </w:r>
    </w:p>
    <w:p w14:paraId="37ED6A5B" w14:textId="77777777" w:rsidR="001C52EB" w:rsidRDefault="001C52EB" w:rsidP="001C52EB">
      <w:pPr>
        <w:rPr>
          <w:rFonts w:ascii="Times New Roman" w:hAnsi="Times New Roman" w:cs="Times New Roman"/>
          <w:b/>
          <w:sz w:val="24"/>
          <w:szCs w:val="24"/>
        </w:rPr>
      </w:pPr>
    </w:p>
    <w:p w14:paraId="2A15F143" w14:textId="77777777" w:rsidR="001C52EB" w:rsidRDefault="001C52EB" w:rsidP="001C52EB">
      <w:pPr>
        <w:rPr>
          <w:rFonts w:ascii="Times New Roman" w:hAnsi="Times New Roman" w:cs="Times New Roman"/>
          <w:bCs/>
          <w:sz w:val="24"/>
          <w:szCs w:val="24"/>
        </w:rPr>
      </w:pPr>
      <w:r>
        <w:rPr>
          <w:rFonts w:ascii="Times New Roman" w:hAnsi="Times New Roman" w:cs="Times New Roman"/>
          <w:bCs/>
          <w:sz w:val="24"/>
          <w:szCs w:val="24"/>
          <w:u w:val="single"/>
        </w:rPr>
        <w:t>Zhu E</w:t>
      </w:r>
      <w:r>
        <w:rPr>
          <w:rFonts w:ascii="Times New Roman" w:hAnsi="Times New Roman" w:cs="Times New Roman"/>
          <w:bCs/>
          <w:sz w:val="24"/>
          <w:szCs w:val="24"/>
        </w:rPr>
        <w:t xml:space="preserve">*, </w:t>
      </w:r>
      <w:r>
        <w:rPr>
          <w:rFonts w:ascii="Times New Roman" w:hAnsi="Times New Roman" w:cs="Times New Roman"/>
          <w:bCs/>
          <w:sz w:val="24"/>
          <w:szCs w:val="24"/>
          <w:u w:val="single"/>
        </w:rPr>
        <w:t>Raco V</w:t>
      </w:r>
      <w:r>
        <w:rPr>
          <w:rFonts w:ascii="Times New Roman" w:hAnsi="Times New Roman" w:cs="Times New Roman"/>
          <w:bCs/>
          <w:sz w:val="24"/>
          <w:szCs w:val="24"/>
        </w:rPr>
        <w:t xml:space="preserve">, </w:t>
      </w:r>
      <w:r>
        <w:rPr>
          <w:rFonts w:ascii="Times New Roman" w:hAnsi="Times New Roman" w:cs="Times New Roman"/>
          <w:bCs/>
          <w:sz w:val="24"/>
          <w:szCs w:val="24"/>
          <w:u w:val="single"/>
        </w:rPr>
        <w:t>Katz A</w:t>
      </w:r>
      <w:r>
        <w:rPr>
          <w:rFonts w:ascii="Times New Roman" w:hAnsi="Times New Roman" w:cs="Times New Roman"/>
          <w:bCs/>
          <w:sz w:val="24"/>
          <w:szCs w:val="24"/>
        </w:rPr>
        <w:t xml:space="preserve">, </w:t>
      </w:r>
      <w:r>
        <w:rPr>
          <w:rFonts w:ascii="Times New Roman" w:hAnsi="Times New Roman" w:cs="Times New Roman"/>
          <w:bCs/>
          <w:sz w:val="24"/>
          <w:szCs w:val="24"/>
          <w:u w:val="single"/>
        </w:rPr>
        <w:t>Yuriditsky E</w:t>
      </w:r>
      <w:r>
        <w:rPr>
          <w:rFonts w:ascii="Times New Roman" w:hAnsi="Times New Roman" w:cs="Times New Roman"/>
          <w:bCs/>
          <w:sz w:val="24"/>
          <w:szCs w:val="24"/>
        </w:rPr>
        <w:t xml:space="preserve">, </w:t>
      </w:r>
      <w:r>
        <w:rPr>
          <w:rFonts w:ascii="Times New Roman" w:hAnsi="Times New Roman" w:cs="Times New Roman"/>
          <w:bCs/>
          <w:sz w:val="24"/>
          <w:szCs w:val="24"/>
          <w:u w:val="single"/>
        </w:rPr>
        <w:t>Papadopoulos J</w:t>
      </w:r>
      <w:r>
        <w:rPr>
          <w:rFonts w:ascii="Times New Roman" w:hAnsi="Times New Roman" w:cs="Times New Roman"/>
          <w:bCs/>
          <w:sz w:val="24"/>
          <w:szCs w:val="24"/>
        </w:rPr>
        <w:t xml:space="preserve">, </w:t>
      </w:r>
      <w:r>
        <w:rPr>
          <w:rFonts w:ascii="Times New Roman" w:hAnsi="Times New Roman" w:cs="Times New Roman"/>
          <w:bCs/>
          <w:sz w:val="24"/>
          <w:szCs w:val="24"/>
          <w:u w:val="single"/>
        </w:rPr>
        <w:t>Ahuja T</w:t>
      </w:r>
    </w:p>
    <w:p w14:paraId="26D566C4" w14:textId="77777777" w:rsidR="001C52EB" w:rsidRDefault="001C52EB" w:rsidP="001C52EB">
      <w:pPr>
        <w:rPr>
          <w:rFonts w:ascii="Times New Roman" w:hAnsi="Times New Roman" w:cs="Times New Roman"/>
          <w:bCs/>
          <w:sz w:val="24"/>
          <w:szCs w:val="24"/>
        </w:rPr>
      </w:pPr>
    </w:p>
    <w:p w14:paraId="63D4355B" w14:textId="77777777" w:rsidR="001C52EB" w:rsidRDefault="001C52EB" w:rsidP="001C52EB">
      <w:pPr>
        <w:rPr>
          <w:rFonts w:ascii="Times New Roman" w:hAnsi="Times New Roman" w:cs="Times New Roman"/>
          <w:bCs/>
          <w:sz w:val="24"/>
          <w:szCs w:val="24"/>
        </w:rPr>
      </w:pPr>
      <w:r>
        <w:rPr>
          <w:rFonts w:ascii="Times New Roman" w:hAnsi="Times New Roman" w:cs="Times New Roman"/>
          <w:bCs/>
          <w:sz w:val="24"/>
          <w:szCs w:val="24"/>
        </w:rPr>
        <w:t>NYU Langone Health, 550 First Avenue, New York, NY 10016</w:t>
      </w:r>
    </w:p>
    <w:p w14:paraId="5F0FE130" w14:textId="77777777" w:rsidR="001C52EB" w:rsidRDefault="001C52EB" w:rsidP="001C52EB">
      <w:pPr>
        <w:rPr>
          <w:rFonts w:ascii="Times New Roman" w:hAnsi="Times New Roman" w:cs="Times New Roman"/>
          <w:bCs/>
          <w:sz w:val="24"/>
          <w:szCs w:val="24"/>
        </w:rPr>
      </w:pPr>
    </w:p>
    <w:p w14:paraId="7F3ED54F" w14:textId="77777777" w:rsidR="001C52EB" w:rsidRDefault="001C52EB" w:rsidP="001C52EB">
      <w:pPr>
        <w:rPr>
          <w:rFonts w:ascii="Times New Roman" w:hAnsi="Times New Roman" w:cs="Times New Roman"/>
          <w:sz w:val="24"/>
          <w:szCs w:val="24"/>
        </w:rPr>
      </w:pPr>
      <w:r>
        <w:rPr>
          <w:rFonts w:ascii="Times New Roman" w:hAnsi="Times New Roman" w:cs="Times New Roman"/>
          <w:b/>
          <w:bCs/>
          <w:sz w:val="24"/>
          <w:szCs w:val="24"/>
        </w:rPr>
        <w:t>Background</w:t>
      </w:r>
      <w:r>
        <w:rPr>
          <w:rFonts w:ascii="Times New Roman" w:hAnsi="Times New Roman" w:cs="Times New Roman"/>
          <w:sz w:val="24"/>
          <w:szCs w:val="24"/>
        </w:rPr>
        <w:t>: The mainstay of acute symptomatic pulmonary embolism (PE) is anticoagulation, with either a low molecular weight heparin (LMWH) or intravenous (IV) unfractionated heparin (UFH). At NYU Langone Health, the recommended UFH dosing strategy for the treatment of a PE consists of a bolus dose of 80 units/kilogram IV followed by a continuous infusion of 18 unit/kilogram/hour, titrated to an anti-Xa goal of 0.3-0.7 U/ml. We hypothesize that dosing and monitoring UFH with an anti-Xa protocol will result in therapeutic anticoagulation target attainment within 24 hours, which may impact overall survival from PE at 3 months.</w:t>
      </w:r>
    </w:p>
    <w:p w14:paraId="288A46F7" w14:textId="77777777" w:rsidR="001C52EB" w:rsidRDefault="001C52EB" w:rsidP="001C52EB">
      <w:pPr>
        <w:rPr>
          <w:rFonts w:ascii="Times New Roman" w:hAnsi="Times New Roman" w:cs="Times New Roman"/>
          <w:sz w:val="24"/>
          <w:szCs w:val="24"/>
        </w:rPr>
      </w:pPr>
    </w:p>
    <w:p w14:paraId="5BD13098" w14:textId="77777777" w:rsidR="001C52EB" w:rsidRDefault="001C52EB" w:rsidP="001C52EB">
      <w:pPr>
        <w:rPr>
          <w:rFonts w:ascii="Times New Roman" w:hAnsi="Times New Roman" w:cs="Times New Roman"/>
          <w:sz w:val="24"/>
          <w:szCs w:val="24"/>
        </w:rPr>
      </w:pPr>
      <w:r>
        <w:rPr>
          <w:rFonts w:ascii="Times New Roman" w:hAnsi="Times New Roman" w:cs="Times New Roman"/>
          <w:b/>
          <w:bCs/>
          <w:sz w:val="24"/>
          <w:szCs w:val="24"/>
        </w:rPr>
        <w:t>Objective</w:t>
      </w:r>
      <w:r>
        <w:rPr>
          <w:rFonts w:ascii="Times New Roman" w:hAnsi="Times New Roman" w:cs="Times New Roman"/>
          <w:sz w:val="24"/>
          <w:szCs w:val="24"/>
        </w:rPr>
        <w:t xml:space="preserve">: The objective was to evaluate the time to therapeutic anti-Xa utilizing a standardized UFH nurse-titrated protocol. The primary endpoint was time to a therapeutic anti-Xa level. Secondary outcomes include percentage of time in therapeutic range within 48 hours, recurrent thrombosis, mortality and bleeding events within 3 months.  </w:t>
      </w:r>
    </w:p>
    <w:p w14:paraId="03422046" w14:textId="77777777" w:rsidR="001C52EB" w:rsidRDefault="001C52EB" w:rsidP="001C52EB">
      <w:pPr>
        <w:rPr>
          <w:rFonts w:ascii="Times New Roman" w:hAnsi="Times New Roman" w:cs="Times New Roman"/>
          <w:sz w:val="24"/>
          <w:szCs w:val="24"/>
        </w:rPr>
      </w:pPr>
    </w:p>
    <w:p w14:paraId="1ADCC3DF" w14:textId="77777777" w:rsidR="001C52EB" w:rsidRDefault="001C52EB" w:rsidP="001C52EB">
      <w:pPr>
        <w:rPr>
          <w:rFonts w:ascii="Times New Roman" w:hAnsi="Times New Roman" w:cs="Times New Roman"/>
          <w:sz w:val="24"/>
          <w:szCs w:val="24"/>
        </w:rPr>
      </w:pPr>
      <w:r>
        <w:rPr>
          <w:rFonts w:ascii="Times New Roman" w:hAnsi="Times New Roman" w:cs="Times New Roman"/>
          <w:b/>
          <w:bCs/>
          <w:sz w:val="24"/>
          <w:szCs w:val="24"/>
        </w:rPr>
        <w:t>Methods</w:t>
      </w:r>
      <w:r>
        <w:rPr>
          <w:rFonts w:ascii="Times New Roman" w:hAnsi="Times New Roman" w:cs="Times New Roman"/>
          <w:sz w:val="24"/>
          <w:szCs w:val="24"/>
        </w:rPr>
        <w:t xml:space="preserve">: This is a retrospective, institutional review board approved, observational study of patients treated with IV UFH for PE between 2016 – 2020. Patients were excluded if they were younger than 18 years of age, did not have at least 2 anti-Xa levels monitored with UFH for PE, or received a LMWH within 12 hours prior, direct oral anticoagulant within 48 hours prior, or alteplase within 48 hours prior or after UFH initiation. Electronic medical records were reviewed to collect baseline demographics, past medical history, characteristics of the thrombus, and doses and titrations of UFH. </w:t>
      </w:r>
    </w:p>
    <w:p w14:paraId="2252FC76" w14:textId="77777777" w:rsidR="001C52EB" w:rsidRDefault="001C52EB" w:rsidP="001C52EB">
      <w:pPr>
        <w:rPr>
          <w:rFonts w:ascii="Times New Roman" w:hAnsi="Times New Roman" w:cs="Times New Roman"/>
          <w:sz w:val="24"/>
          <w:szCs w:val="24"/>
        </w:rPr>
      </w:pPr>
    </w:p>
    <w:p w14:paraId="64ABF90E" w14:textId="77777777" w:rsidR="001C52EB" w:rsidRDefault="001C52EB" w:rsidP="001C52EB">
      <w:pPr>
        <w:rPr>
          <w:rFonts w:ascii="Times New Roman" w:hAnsi="Times New Roman" w:cs="Times New Roman"/>
          <w:sz w:val="24"/>
          <w:szCs w:val="24"/>
        </w:rPr>
      </w:pPr>
      <w:r>
        <w:rPr>
          <w:rFonts w:ascii="Times New Roman" w:hAnsi="Times New Roman" w:cs="Times New Roman"/>
          <w:b/>
          <w:bCs/>
          <w:sz w:val="24"/>
          <w:szCs w:val="24"/>
        </w:rPr>
        <w:t>Results</w:t>
      </w:r>
      <w:r>
        <w:rPr>
          <w:rFonts w:ascii="Times New Roman" w:hAnsi="Times New Roman" w:cs="Times New Roman"/>
          <w:sz w:val="24"/>
          <w:szCs w:val="24"/>
        </w:rPr>
        <w:t>: Pending statistical analysis</w:t>
      </w:r>
    </w:p>
    <w:p w14:paraId="347E8526" w14:textId="77777777" w:rsidR="001C52EB" w:rsidRDefault="001C52EB" w:rsidP="001C52EB">
      <w:pPr>
        <w:rPr>
          <w:rFonts w:ascii="Times New Roman" w:hAnsi="Times New Roman" w:cs="Times New Roman"/>
          <w:sz w:val="24"/>
          <w:szCs w:val="24"/>
        </w:rPr>
      </w:pPr>
    </w:p>
    <w:p w14:paraId="74C6CE54" w14:textId="77777777" w:rsidR="001C52EB" w:rsidRDefault="001C52EB" w:rsidP="001C52EB">
      <w:r>
        <w:rPr>
          <w:rFonts w:ascii="Times New Roman" w:hAnsi="Times New Roman" w:cs="Times New Roman"/>
          <w:b/>
          <w:bCs/>
          <w:sz w:val="24"/>
          <w:szCs w:val="24"/>
        </w:rPr>
        <w:t>Conclusion</w:t>
      </w:r>
      <w:r>
        <w:rPr>
          <w:rFonts w:ascii="Times New Roman" w:hAnsi="Times New Roman" w:cs="Times New Roman"/>
          <w:sz w:val="24"/>
          <w:szCs w:val="24"/>
        </w:rPr>
        <w:t>: Pending statistical analysis</w:t>
      </w:r>
    </w:p>
    <w:p w14:paraId="04C5E663" w14:textId="09E67051" w:rsidR="003D584E" w:rsidRDefault="003D584E" w:rsidP="003D584E">
      <w:pPr>
        <w:rPr>
          <w:rFonts w:ascii="Times New Roman" w:hAnsi="Times New Roman" w:cs="Times New Roman"/>
          <w:sz w:val="24"/>
          <w:szCs w:val="24"/>
        </w:rPr>
      </w:pPr>
    </w:p>
    <w:p w14:paraId="686F9A61" w14:textId="1C827BF8" w:rsidR="001C52EB" w:rsidRDefault="001C52EB" w:rsidP="003D584E">
      <w:pPr>
        <w:rPr>
          <w:rFonts w:ascii="Times New Roman" w:hAnsi="Times New Roman" w:cs="Times New Roman"/>
          <w:sz w:val="24"/>
          <w:szCs w:val="24"/>
        </w:rPr>
      </w:pPr>
    </w:p>
    <w:p w14:paraId="7F8CCFAA" w14:textId="77777777" w:rsidR="005B56E3" w:rsidRPr="008B580E" w:rsidRDefault="005B56E3" w:rsidP="005B56E3">
      <w:pPr>
        <w:spacing w:before="66" w:line="260" w:lineRule="auto"/>
        <w:ind w:left="101" w:right="260"/>
      </w:pPr>
      <w:r w:rsidRPr="008B580E">
        <w:rPr>
          <w:rFonts w:ascii="Times New Roman" w:eastAsia="Times New Roman" w:hAnsi="Times New Roman" w:cs="Times New Roman"/>
        </w:rPr>
        <w:lastRenderedPageBreak/>
        <w:t>I</w:t>
      </w:r>
      <w:r w:rsidRPr="008B580E">
        <w:rPr>
          <w:rFonts w:ascii="Times New Roman" w:eastAsia="Times New Roman" w:hAnsi="Times New Roman" w:cs="Times New Roman"/>
          <w:spacing w:val="1"/>
        </w:rPr>
        <w:t>MP</w:t>
      </w:r>
      <w:r w:rsidRPr="008B580E">
        <w:rPr>
          <w:rFonts w:ascii="Times New Roman" w:eastAsia="Times New Roman" w:hAnsi="Times New Roman" w:cs="Times New Roman"/>
          <w:spacing w:val="-2"/>
        </w:rPr>
        <w:t>LE</w:t>
      </w:r>
      <w:r w:rsidRPr="008B580E">
        <w:rPr>
          <w:rFonts w:ascii="Times New Roman" w:eastAsia="Times New Roman" w:hAnsi="Times New Roman" w:cs="Times New Roman"/>
          <w:spacing w:val="1"/>
        </w:rPr>
        <w:t>M</w:t>
      </w:r>
      <w:r w:rsidRPr="008B580E">
        <w:rPr>
          <w:rFonts w:ascii="Times New Roman" w:eastAsia="Times New Roman" w:hAnsi="Times New Roman" w:cs="Times New Roman"/>
          <w:spacing w:val="-2"/>
        </w:rPr>
        <w:t>E</w:t>
      </w:r>
      <w:r w:rsidRPr="008B580E">
        <w:rPr>
          <w:rFonts w:ascii="Times New Roman" w:eastAsia="Times New Roman" w:hAnsi="Times New Roman" w:cs="Times New Roman"/>
          <w:spacing w:val="1"/>
        </w:rPr>
        <w:t>N</w:t>
      </w:r>
      <w:r w:rsidRPr="008B580E">
        <w:rPr>
          <w:rFonts w:ascii="Times New Roman" w:eastAsia="Times New Roman" w:hAnsi="Times New Roman" w:cs="Times New Roman"/>
          <w:spacing w:val="-2"/>
        </w:rPr>
        <w:t>T</w:t>
      </w:r>
      <w:r w:rsidRPr="008B580E">
        <w:rPr>
          <w:rFonts w:ascii="Times New Roman" w:eastAsia="Times New Roman" w:hAnsi="Times New Roman" w:cs="Times New Roman"/>
        </w:rPr>
        <w:t>I</w:t>
      </w:r>
      <w:r w:rsidRPr="008B580E">
        <w:rPr>
          <w:rFonts w:ascii="Times New Roman" w:eastAsia="Times New Roman" w:hAnsi="Times New Roman" w:cs="Times New Roman"/>
          <w:spacing w:val="1"/>
        </w:rPr>
        <w:t>N</w:t>
      </w:r>
      <w:r w:rsidRPr="008B580E">
        <w:rPr>
          <w:rFonts w:ascii="Times New Roman" w:eastAsia="Times New Roman" w:hAnsi="Times New Roman" w:cs="Times New Roman"/>
        </w:rPr>
        <w:t>G</w:t>
      </w:r>
      <w:r w:rsidRPr="008B580E">
        <w:rPr>
          <w:rFonts w:ascii="Times New Roman" w:eastAsia="Times New Roman" w:hAnsi="Times New Roman" w:cs="Times New Roman"/>
          <w:spacing w:val="-3"/>
        </w:rPr>
        <w:t xml:space="preserve"> </w:t>
      </w:r>
      <w:r w:rsidRPr="008B580E">
        <w:rPr>
          <w:rFonts w:ascii="Times New Roman" w:eastAsia="Times New Roman" w:hAnsi="Times New Roman" w:cs="Times New Roman"/>
        </w:rPr>
        <w:t>A</w:t>
      </w:r>
      <w:r w:rsidRPr="008B580E">
        <w:rPr>
          <w:rFonts w:ascii="Times New Roman" w:eastAsia="Times New Roman" w:hAnsi="Times New Roman" w:cs="Times New Roman"/>
          <w:spacing w:val="1"/>
        </w:rPr>
        <w:t xml:space="preserve"> </w:t>
      </w:r>
      <w:r w:rsidRPr="008B580E">
        <w:rPr>
          <w:rFonts w:ascii="Times New Roman" w:eastAsia="Times New Roman" w:hAnsi="Times New Roman" w:cs="Times New Roman"/>
          <w:spacing w:val="-2"/>
        </w:rPr>
        <w:t>T</w:t>
      </w:r>
      <w:r w:rsidRPr="008B580E">
        <w:rPr>
          <w:rFonts w:ascii="Times New Roman" w:eastAsia="Times New Roman" w:hAnsi="Times New Roman" w:cs="Times New Roman"/>
          <w:spacing w:val="1"/>
        </w:rPr>
        <w:t>AK</w:t>
      </w:r>
      <w:r w:rsidRPr="008B580E">
        <w:rPr>
          <w:rFonts w:ascii="Times New Roman" w:eastAsia="Times New Roman" w:hAnsi="Times New Roman" w:cs="Times New Roman"/>
          <w:spacing w:val="2"/>
        </w:rPr>
        <w:t>E</w:t>
      </w:r>
      <w:r w:rsidRPr="008B580E">
        <w:rPr>
          <w:rFonts w:ascii="Times New Roman" w:eastAsia="Times New Roman" w:hAnsi="Times New Roman" w:cs="Times New Roman"/>
        </w:rPr>
        <w:t>-</w:t>
      </w:r>
      <w:r w:rsidRPr="008B580E">
        <w:rPr>
          <w:rFonts w:ascii="Times New Roman" w:eastAsia="Times New Roman" w:hAnsi="Times New Roman" w:cs="Times New Roman"/>
          <w:spacing w:val="1"/>
        </w:rPr>
        <w:t>HOM</w:t>
      </w:r>
      <w:r w:rsidRPr="008B580E">
        <w:rPr>
          <w:rFonts w:ascii="Times New Roman" w:eastAsia="Times New Roman" w:hAnsi="Times New Roman" w:cs="Times New Roman"/>
        </w:rPr>
        <w:t>E</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spacing w:val="1"/>
        </w:rPr>
        <w:t>NA</w:t>
      </w:r>
      <w:r w:rsidRPr="008B580E">
        <w:rPr>
          <w:rFonts w:ascii="Times New Roman" w:eastAsia="Times New Roman" w:hAnsi="Times New Roman" w:cs="Times New Roman"/>
          <w:spacing w:val="-2"/>
        </w:rPr>
        <w:t>L</w:t>
      </w:r>
      <w:r w:rsidRPr="008B580E">
        <w:rPr>
          <w:rFonts w:ascii="Times New Roman" w:eastAsia="Times New Roman" w:hAnsi="Times New Roman" w:cs="Times New Roman"/>
          <w:spacing w:val="-3"/>
        </w:rPr>
        <w:t>O</w:t>
      </w:r>
      <w:r w:rsidRPr="008B580E">
        <w:rPr>
          <w:rFonts w:ascii="Times New Roman" w:eastAsia="Times New Roman" w:hAnsi="Times New Roman" w:cs="Times New Roman"/>
          <w:spacing w:val="1"/>
        </w:rPr>
        <w:t>XONE</w:t>
      </w:r>
      <w:r w:rsidRPr="008B580E">
        <w:rPr>
          <w:rFonts w:ascii="Times New Roman" w:eastAsia="Times New Roman" w:hAnsi="Times New Roman" w:cs="Times New Roman"/>
          <w:spacing w:val="-5"/>
        </w:rPr>
        <w:t>-</w:t>
      </w:r>
      <w:r w:rsidRPr="008B580E">
        <w:rPr>
          <w:rFonts w:ascii="Times New Roman" w:eastAsia="Times New Roman" w:hAnsi="Times New Roman" w:cs="Times New Roman"/>
          <w:spacing w:val="1"/>
        </w:rPr>
        <w:t>K</w:t>
      </w:r>
      <w:r w:rsidRPr="008B580E">
        <w:rPr>
          <w:rFonts w:ascii="Times New Roman" w:eastAsia="Times New Roman" w:hAnsi="Times New Roman" w:cs="Times New Roman"/>
        </w:rPr>
        <w:t>IT</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spacing w:val="1"/>
        </w:rPr>
        <w:t>P</w:t>
      </w:r>
      <w:r w:rsidRPr="008B580E">
        <w:rPr>
          <w:rFonts w:ascii="Times New Roman" w:eastAsia="Times New Roman" w:hAnsi="Times New Roman" w:cs="Times New Roman"/>
        </w:rPr>
        <w:t>R</w:t>
      </w:r>
      <w:r w:rsidRPr="008B580E">
        <w:rPr>
          <w:rFonts w:ascii="Times New Roman" w:eastAsia="Times New Roman" w:hAnsi="Times New Roman" w:cs="Times New Roman"/>
          <w:spacing w:val="1"/>
        </w:rPr>
        <w:t>O</w:t>
      </w:r>
      <w:r w:rsidRPr="008B580E">
        <w:rPr>
          <w:rFonts w:ascii="Times New Roman" w:eastAsia="Times New Roman" w:hAnsi="Times New Roman" w:cs="Times New Roman"/>
          <w:spacing w:val="-3"/>
        </w:rPr>
        <w:t>G</w:t>
      </w:r>
      <w:r w:rsidRPr="008B580E">
        <w:rPr>
          <w:rFonts w:ascii="Times New Roman" w:eastAsia="Times New Roman" w:hAnsi="Times New Roman" w:cs="Times New Roman"/>
        </w:rPr>
        <w:t>R</w:t>
      </w:r>
      <w:r w:rsidRPr="008B580E">
        <w:rPr>
          <w:rFonts w:ascii="Times New Roman" w:eastAsia="Times New Roman" w:hAnsi="Times New Roman" w:cs="Times New Roman"/>
          <w:spacing w:val="1"/>
        </w:rPr>
        <w:t>A</w:t>
      </w:r>
      <w:r w:rsidRPr="008B580E">
        <w:rPr>
          <w:rFonts w:ascii="Times New Roman" w:eastAsia="Times New Roman" w:hAnsi="Times New Roman" w:cs="Times New Roman"/>
        </w:rPr>
        <w:t>M</w:t>
      </w:r>
      <w:r w:rsidRPr="008B580E">
        <w:rPr>
          <w:rFonts w:ascii="Times New Roman" w:eastAsia="Times New Roman" w:hAnsi="Times New Roman" w:cs="Times New Roman"/>
          <w:spacing w:val="1"/>
        </w:rPr>
        <w:t xml:space="preserve"> </w:t>
      </w:r>
      <w:r w:rsidRPr="008B580E">
        <w:rPr>
          <w:rFonts w:ascii="Times New Roman" w:eastAsia="Times New Roman" w:hAnsi="Times New Roman" w:cs="Times New Roman"/>
        </w:rPr>
        <w:t>IN</w:t>
      </w:r>
      <w:r w:rsidRPr="008B580E">
        <w:rPr>
          <w:rFonts w:ascii="Times New Roman" w:eastAsia="Times New Roman" w:hAnsi="Times New Roman" w:cs="Times New Roman"/>
          <w:spacing w:val="1"/>
        </w:rPr>
        <w:t xml:space="preserve"> </w:t>
      </w:r>
      <w:r w:rsidRPr="008B580E">
        <w:rPr>
          <w:rFonts w:ascii="Times New Roman" w:eastAsia="Times New Roman" w:hAnsi="Times New Roman" w:cs="Times New Roman"/>
          <w:spacing w:val="-2"/>
        </w:rPr>
        <w:t>T</w:t>
      </w:r>
      <w:r w:rsidRPr="008B580E">
        <w:rPr>
          <w:rFonts w:ascii="Times New Roman" w:eastAsia="Times New Roman" w:hAnsi="Times New Roman" w:cs="Times New Roman"/>
          <w:spacing w:val="1"/>
        </w:rPr>
        <w:t>H</w:t>
      </w:r>
      <w:r w:rsidRPr="008B580E">
        <w:rPr>
          <w:rFonts w:ascii="Times New Roman" w:eastAsia="Times New Roman" w:hAnsi="Times New Roman" w:cs="Times New Roman"/>
        </w:rPr>
        <w:t>E</w:t>
      </w:r>
      <w:r w:rsidRPr="008B580E">
        <w:rPr>
          <w:rFonts w:ascii="Times New Roman" w:eastAsia="Times New Roman" w:hAnsi="Times New Roman" w:cs="Times New Roman"/>
          <w:spacing w:val="-2"/>
        </w:rPr>
        <w:t xml:space="preserve"> E</w:t>
      </w:r>
      <w:r w:rsidRPr="008B580E">
        <w:rPr>
          <w:rFonts w:ascii="Times New Roman" w:eastAsia="Times New Roman" w:hAnsi="Times New Roman" w:cs="Times New Roman"/>
          <w:spacing w:val="1"/>
        </w:rPr>
        <w:t>M</w:t>
      </w:r>
      <w:r w:rsidRPr="008B580E">
        <w:rPr>
          <w:rFonts w:ascii="Times New Roman" w:eastAsia="Times New Roman" w:hAnsi="Times New Roman" w:cs="Times New Roman"/>
          <w:spacing w:val="-2"/>
        </w:rPr>
        <w:t>E</w:t>
      </w:r>
      <w:r w:rsidRPr="008B580E">
        <w:rPr>
          <w:rFonts w:ascii="Times New Roman" w:eastAsia="Times New Roman" w:hAnsi="Times New Roman" w:cs="Times New Roman"/>
        </w:rPr>
        <w:t>R</w:t>
      </w:r>
      <w:r w:rsidRPr="008B580E">
        <w:rPr>
          <w:rFonts w:ascii="Times New Roman" w:eastAsia="Times New Roman" w:hAnsi="Times New Roman" w:cs="Times New Roman"/>
          <w:spacing w:val="-3"/>
        </w:rPr>
        <w:t>G</w:t>
      </w:r>
      <w:r w:rsidRPr="008B580E">
        <w:rPr>
          <w:rFonts w:ascii="Times New Roman" w:eastAsia="Times New Roman" w:hAnsi="Times New Roman" w:cs="Times New Roman"/>
          <w:spacing w:val="-2"/>
        </w:rPr>
        <w:t>E</w:t>
      </w:r>
      <w:r w:rsidRPr="008B580E">
        <w:rPr>
          <w:rFonts w:ascii="Times New Roman" w:eastAsia="Times New Roman" w:hAnsi="Times New Roman" w:cs="Times New Roman"/>
          <w:spacing w:val="1"/>
        </w:rPr>
        <w:t>N</w:t>
      </w:r>
      <w:r w:rsidRPr="008B580E">
        <w:rPr>
          <w:rFonts w:ascii="Times New Roman" w:eastAsia="Times New Roman" w:hAnsi="Times New Roman" w:cs="Times New Roman"/>
        </w:rPr>
        <w:t xml:space="preserve">CY </w:t>
      </w:r>
      <w:r w:rsidRPr="008B580E">
        <w:rPr>
          <w:rFonts w:ascii="Times New Roman" w:eastAsia="Times New Roman" w:hAnsi="Times New Roman" w:cs="Times New Roman"/>
          <w:spacing w:val="1"/>
        </w:rPr>
        <w:t>D</w:t>
      </w:r>
      <w:r w:rsidRPr="008B580E">
        <w:rPr>
          <w:rFonts w:ascii="Times New Roman" w:eastAsia="Times New Roman" w:hAnsi="Times New Roman" w:cs="Times New Roman"/>
          <w:spacing w:val="-2"/>
        </w:rPr>
        <w:t>E</w:t>
      </w:r>
      <w:r w:rsidRPr="008B580E">
        <w:rPr>
          <w:rFonts w:ascii="Times New Roman" w:eastAsia="Times New Roman" w:hAnsi="Times New Roman" w:cs="Times New Roman"/>
          <w:spacing w:val="1"/>
        </w:rPr>
        <w:t>PA</w:t>
      </w:r>
      <w:r w:rsidRPr="008B580E">
        <w:rPr>
          <w:rFonts w:ascii="Times New Roman" w:eastAsia="Times New Roman" w:hAnsi="Times New Roman" w:cs="Times New Roman"/>
        </w:rPr>
        <w:t>R</w:t>
      </w:r>
      <w:r w:rsidRPr="008B580E">
        <w:rPr>
          <w:rFonts w:ascii="Times New Roman" w:eastAsia="Times New Roman" w:hAnsi="Times New Roman" w:cs="Times New Roman"/>
          <w:spacing w:val="-2"/>
        </w:rPr>
        <w:t>T</w:t>
      </w:r>
      <w:r w:rsidRPr="008B580E">
        <w:rPr>
          <w:rFonts w:ascii="Times New Roman" w:eastAsia="Times New Roman" w:hAnsi="Times New Roman" w:cs="Times New Roman"/>
          <w:spacing w:val="1"/>
        </w:rPr>
        <w:t>M</w:t>
      </w:r>
      <w:r w:rsidRPr="008B580E">
        <w:rPr>
          <w:rFonts w:ascii="Times New Roman" w:eastAsia="Times New Roman" w:hAnsi="Times New Roman" w:cs="Times New Roman"/>
          <w:spacing w:val="-2"/>
        </w:rPr>
        <w:t>E</w:t>
      </w:r>
      <w:r w:rsidRPr="008B580E">
        <w:rPr>
          <w:rFonts w:ascii="Times New Roman" w:eastAsia="Times New Roman" w:hAnsi="Times New Roman" w:cs="Times New Roman"/>
          <w:spacing w:val="1"/>
        </w:rPr>
        <w:t>N</w:t>
      </w:r>
      <w:r w:rsidRPr="008B580E">
        <w:rPr>
          <w:rFonts w:ascii="Times New Roman" w:eastAsia="Times New Roman" w:hAnsi="Times New Roman" w:cs="Times New Roman"/>
        </w:rPr>
        <w:t>T</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spacing w:val="1"/>
        </w:rPr>
        <w:t>O</w:t>
      </w:r>
      <w:r w:rsidRPr="008B580E">
        <w:rPr>
          <w:rFonts w:ascii="Times New Roman" w:eastAsia="Times New Roman" w:hAnsi="Times New Roman" w:cs="Times New Roman"/>
        </w:rPr>
        <w:t>F</w:t>
      </w:r>
      <w:r w:rsidRPr="008B580E">
        <w:rPr>
          <w:rFonts w:ascii="Times New Roman" w:eastAsia="Times New Roman" w:hAnsi="Times New Roman" w:cs="Times New Roman"/>
          <w:spacing w:val="-3"/>
        </w:rPr>
        <w:t xml:space="preserve"> </w:t>
      </w:r>
      <w:r w:rsidRPr="008B580E">
        <w:rPr>
          <w:rFonts w:ascii="Times New Roman" w:eastAsia="Times New Roman" w:hAnsi="Times New Roman" w:cs="Times New Roman"/>
          <w:spacing w:val="1"/>
        </w:rPr>
        <w:t>A</w:t>
      </w:r>
      <w:r w:rsidRPr="008B580E">
        <w:rPr>
          <w:rFonts w:ascii="Times New Roman" w:eastAsia="Times New Roman" w:hAnsi="Times New Roman" w:cs="Times New Roman"/>
        </w:rPr>
        <w:t>N</w:t>
      </w:r>
      <w:r w:rsidRPr="008B580E">
        <w:rPr>
          <w:rFonts w:ascii="Times New Roman" w:eastAsia="Times New Roman" w:hAnsi="Times New Roman" w:cs="Times New Roman"/>
          <w:spacing w:val="1"/>
        </w:rPr>
        <w:t xml:space="preserve"> A</w:t>
      </w:r>
      <w:r w:rsidRPr="008B580E">
        <w:rPr>
          <w:rFonts w:ascii="Times New Roman" w:eastAsia="Times New Roman" w:hAnsi="Times New Roman" w:cs="Times New Roman"/>
        </w:rPr>
        <w:t>C</w:t>
      </w:r>
      <w:r w:rsidRPr="008B580E">
        <w:rPr>
          <w:rFonts w:ascii="Times New Roman" w:eastAsia="Times New Roman" w:hAnsi="Times New Roman" w:cs="Times New Roman"/>
          <w:spacing w:val="-3"/>
        </w:rPr>
        <w:t>A</w:t>
      </w:r>
      <w:r w:rsidRPr="008B580E">
        <w:rPr>
          <w:rFonts w:ascii="Times New Roman" w:eastAsia="Times New Roman" w:hAnsi="Times New Roman" w:cs="Times New Roman"/>
          <w:spacing w:val="1"/>
        </w:rPr>
        <w:t>D</w:t>
      </w:r>
      <w:r w:rsidRPr="008B580E">
        <w:rPr>
          <w:rFonts w:ascii="Times New Roman" w:eastAsia="Times New Roman" w:hAnsi="Times New Roman" w:cs="Times New Roman"/>
          <w:spacing w:val="-2"/>
        </w:rPr>
        <w:t>E</w:t>
      </w:r>
      <w:r w:rsidRPr="008B580E">
        <w:rPr>
          <w:rFonts w:ascii="Times New Roman" w:eastAsia="Times New Roman" w:hAnsi="Times New Roman" w:cs="Times New Roman"/>
          <w:spacing w:val="1"/>
        </w:rPr>
        <w:t>M</w:t>
      </w:r>
      <w:r w:rsidRPr="008B580E">
        <w:rPr>
          <w:rFonts w:ascii="Times New Roman" w:eastAsia="Times New Roman" w:hAnsi="Times New Roman" w:cs="Times New Roman"/>
        </w:rPr>
        <w:t xml:space="preserve">IC </w:t>
      </w:r>
      <w:r w:rsidRPr="008B580E">
        <w:rPr>
          <w:rFonts w:ascii="Times New Roman" w:eastAsia="Times New Roman" w:hAnsi="Times New Roman" w:cs="Times New Roman"/>
          <w:spacing w:val="1"/>
        </w:rPr>
        <w:t>M</w:t>
      </w:r>
      <w:r w:rsidRPr="008B580E">
        <w:rPr>
          <w:rFonts w:ascii="Times New Roman" w:eastAsia="Times New Roman" w:hAnsi="Times New Roman" w:cs="Times New Roman"/>
          <w:spacing w:val="-2"/>
        </w:rPr>
        <w:t>E</w:t>
      </w:r>
      <w:r w:rsidRPr="008B580E">
        <w:rPr>
          <w:rFonts w:ascii="Times New Roman" w:eastAsia="Times New Roman" w:hAnsi="Times New Roman" w:cs="Times New Roman"/>
          <w:spacing w:val="1"/>
        </w:rPr>
        <w:t>D</w:t>
      </w:r>
      <w:r w:rsidRPr="008B580E">
        <w:rPr>
          <w:rFonts w:ascii="Times New Roman" w:eastAsia="Times New Roman" w:hAnsi="Times New Roman" w:cs="Times New Roman"/>
        </w:rPr>
        <w:t>IC</w:t>
      </w:r>
      <w:r w:rsidRPr="008B580E">
        <w:rPr>
          <w:rFonts w:ascii="Times New Roman" w:eastAsia="Times New Roman" w:hAnsi="Times New Roman" w:cs="Times New Roman"/>
          <w:spacing w:val="1"/>
        </w:rPr>
        <w:t>A</w:t>
      </w:r>
      <w:r w:rsidRPr="008B580E">
        <w:rPr>
          <w:rFonts w:ascii="Times New Roman" w:eastAsia="Times New Roman" w:hAnsi="Times New Roman" w:cs="Times New Roman"/>
        </w:rPr>
        <w:t>L</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spacing w:val="-5"/>
        </w:rPr>
        <w:t>C</w:t>
      </w:r>
      <w:r w:rsidRPr="008B580E">
        <w:rPr>
          <w:rFonts w:ascii="Times New Roman" w:eastAsia="Times New Roman" w:hAnsi="Times New Roman" w:cs="Times New Roman"/>
          <w:spacing w:val="-2"/>
        </w:rPr>
        <w:t>E</w:t>
      </w:r>
      <w:r w:rsidRPr="008B580E">
        <w:rPr>
          <w:rFonts w:ascii="Times New Roman" w:eastAsia="Times New Roman" w:hAnsi="Times New Roman" w:cs="Times New Roman"/>
          <w:spacing w:val="1"/>
        </w:rPr>
        <w:t>N</w:t>
      </w:r>
      <w:r w:rsidRPr="008B580E">
        <w:rPr>
          <w:rFonts w:ascii="Times New Roman" w:eastAsia="Times New Roman" w:hAnsi="Times New Roman" w:cs="Times New Roman"/>
          <w:spacing w:val="-2"/>
        </w:rPr>
        <w:t>TE</w:t>
      </w:r>
      <w:r w:rsidRPr="008B580E">
        <w:rPr>
          <w:rFonts w:ascii="Times New Roman" w:eastAsia="Times New Roman" w:hAnsi="Times New Roman" w:cs="Times New Roman"/>
        </w:rPr>
        <w:t>R</w:t>
      </w:r>
    </w:p>
    <w:p w14:paraId="58079DD3" w14:textId="77777777" w:rsidR="005B56E3" w:rsidRPr="008B580E" w:rsidRDefault="005B56E3" w:rsidP="005B56E3">
      <w:pPr>
        <w:spacing w:before="6" w:line="140" w:lineRule="exact"/>
      </w:pPr>
    </w:p>
    <w:p w14:paraId="373E853D" w14:textId="77777777" w:rsidR="005B56E3" w:rsidRPr="008B580E" w:rsidRDefault="005B56E3" w:rsidP="005B56E3">
      <w:pPr>
        <w:ind w:left="101"/>
      </w:pPr>
      <w:r w:rsidRPr="008B580E">
        <w:rPr>
          <w:rFonts w:ascii="Times New Roman" w:eastAsia="Times New Roman" w:hAnsi="Times New Roman" w:cs="Times New Roman"/>
          <w:spacing w:val="-2"/>
          <w:u w:val="single" w:color="000000"/>
        </w:rPr>
        <w:t>Z</w:t>
      </w:r>
      <w:r w:rsidRPr="008B580E">
        <w:rPr>
          <w:rFonts w:ascii="Times New Roman" w:eastAsia="Times New Roman" w:hAnsi="Times New Roman" w:cs="Times New Roman"/>
          <w:u w:val="single" w:color="000000"/>
        </w:rPr>
        <w:t xml:space="preserve">hu </w:t>
      </w:r>
      <w:r w:rsidRPr="008B580E">
        <w:rPr>
          <w:rFonts w:ascii="Times New Roman" w:eastAsia="Times New Roman" w:hAnsi="Times New Roman" w:cs="Times New Roman"/>
          <w:spacing w:val="1"/>
          <w:u w:val="single" w:color="000000"/>
        </w:rPr>
        <w:t>S</w:t>
      </w:r>
      <w:r w:rsidRPr="008B580E">
        <w:rPr>
          <w:rFonts w:ascii="Times New Roman" w:eastAsia="Times New Roman" w:hAnsi="Times New Roman" w:cs="Times New Roman"/>
          <w:u w:val="single" w:color="000000"/>
        </w:rPr>
        <w:t xml:space="preserve">*, </w:t>
      </w:r>
      <w:r w:rsidRPr="008B580E">
        <w:rPr>
          <w:rFonts w:ascii="Times New Roman" w:eastAsia="Times New Roman" w:hAnsi="Times New Roman" w:cs="Times New Roman"/>
          <w:spacing w:val="1"/>
          <w:u w:val="single" w:color="000000"/>
        </w:rPr>
        <w:t>S</w:t>
      </w:r>
      <w:r w:rsidRPr="008B580E">
        <w:rPr>
          <w:rFonts w:ascii="Times New Roman" w:eastAsia="Times New Roman" w:hAnsi="Times New Roman" w:cs="Times New Roman"/>
          <w:u w:val="single" w:color="000000"/>
        </w:rPr>
        <w:t>h</w:t>
      </w:r>
      <w:r w:rsidRPr="008B580E">
        <w:rPr>
          <w:rFonts w:ascii="Times New Roman" w:eastAsia="Times New Roman" w:hAnsi="Times New Roman" w:cs="Times New Roman"/>
          <w:spacing w:val="-2"/>
          <w:u w:val="single" w:color="000000"/>
        </w:rPr>
        <w:t>e</w:t>
      </w:r>
      <w:r w:rsidRPr="008B580E">
        <w:rPr>
          <w:rFonts w:ascii="Times New Roman" w:eastAsia="Times New Roman" w:hAnsi="Times New Roman" w:cs="Times New Roman"/>
          <w:u w:val="single" w:color="000000"/>
        </w:rPr>
        <w:t xml:space="preserve">n, </w:t>
      </w:r>
      <w:r w:rsidRPr="008B580E">
        <w:rPr>
          <w:rFonts w:ascii="Times New Roman" w:eastAsia="Times New Roman" w:hAnsi="Times New Roman" w:cs="Times New Roman"/>
          <w:spacing w:val="1"/>
          <w:u w:val="single" w:color="000000"/>
        </w:rPr>
        <w:t>M</w:t>
      </w:r>
      <w:r w:rsidRPr="008B580E">
        <w:rPr>
          <w:rFonts w:ascii="Times New Roman" w:eastAsia="Times New Roman" w:hAnsi="Times New Roman" w:cs="Times New Roman"/>
          <w:u w:val="single" w:color="000000"/>
        </w:rPr>
        <w:t>, Ro</w:t>
      </w:r>
      <w:r w:rsidRPr="008B580E">
        <w:rPr>
          <w:rFonts w:ascii="Times New Roman" w:eastAsia="Times New Roman" w:hAnsi="Times New Roman" w:cs="Times New Roman"/>
          <w:spacing w:val="1"/>
          <w:u w:val="single" w:color="000000"/>
        </w:rPr>
        <w:t>s</w:t>
      </w:r>
      <w:r w:rsidRPr="008B580E">
        <w:rPr>
          <w:rFonts w:ascii="Times New Roman" w:eastAsia="Times New Roman" w:hAnsi="Times New Roman" w:cs="Times New Roman"/>
          <w:spacing w:val="-2"/>
          <w:u w:val="single" w:color="000000"/>
        </w:rPr>
        <w:t>e</w:t>
      </w:r>
      <w:r w:rsidRPr="008B580E">
        <w:rPr>
          <w:rFonts w:ascii="Times New Roman" w:eastAsia="Times New Roman" w:hAnsi="Times New Roman" w:cs="Times New Roman"/>
          <w:u w:val="single" w:color="000000"/>
        </w:rPr>
        <w:t>n</w:t>
      </w:r>
      <w:r w:rsidRPr="008B580E">
        <w:rPr>
          <w:rFonts w:ascii="Times New Roman" w:eastAsia="Times New Roman" w:hAnsi="Times New Roman" w:cs="Times New Roman"/>
          <w:spacing w:val="-2"/>
          <w:u w:val="single" w:color="000000"/>
        </w:rPr>
        <w:t>t</w:t>
      </w:r>
      <w:r w:rsidRPr="008B580E">
        <w:rPr>
          <w:rFonts w:ascii="Times New Roman" w:eastAsia="Times New Roman" w:hAnsi="Times New Roman" w:cs="Times New Roman"/>
          <w:u w:val="single" w:color="000000"/>
        </w:rPr>
        <w:t>h</w:t>
      </w:r>
      <w:r w:rsidRPr="008B580E">
        <w:rPr>
          <w:rFonts w:ascii="Times New Roman" w:eastAsia="Times New Roman" w:hAnsi="Times New Roman" w:cs="Times New Roman"/>
          <w:spacing w:val="-2"/>
          <w:u w:val="single" w:color="000000"/>
        </w:rPr>
        <w:t>a</w:t>
      </w:r>
      <w:r w:rsidRPr="008B580E">
        <w:rPr>
          <w:rFonts w:ascii="Times New Roman" w:eastAsia="Times New Roman" w:hAnsi="Times New Roman" w:cs="Times New Roman"/>
          <w:u w:val="single" w:color="000000"/>
        </w:rPr>
        <w:t>l</w:t>
      </w:r>
      <w:r w:rsidRPr="008B580E">
        <w:rPr>
          <w:rFonts w:ascii="Times New Roman" w:eastAsia="Times New Roman" w:hAnsi="Times New Roman" w:cs="Times New Roman"/>
          <w:spacing w:val="-2"/>
          <w:u w:val="single" w:color="000000"/>
        </w:rPr>
        <w:t xml:space="preserve"> </w:t>
      </w:r>
      <w:r w:rsidRPr="008B580E">
        <w:rPr>
          <w:rFonts w:ascii="Times New Roman" w:eastAsia="Times New Roman" w:hAnsi="Times New Roman" w:cs="Times New Roman"/>
          <w:u w:val="single" w:color="000000"/>
        </w:rPr>
        <w:t xml:space="preserve">B, </w:t>
      </w:r>
      <w:r w:rsidRPr="008B580E">
        <w:rPr>
          <w:rFonts w:ascii="Times New Roman" w:eastAsia="Times New Roman" w:hAnsi="Times New Roman" w:cs="Times New Roman"/>
          <w:spacing w:val="1"/>
          <w:u w:val="single" w:color="000000"/>
        </w:rPr>
        <w:t>N</w:t>
      </w:r>
      <w:r w:rsidRPr="008B580E">
        <w:rPr>
          <w:rFonts w:ascii="Times New Roman" w:eastAsia="Times New Roman" w:hAnsi="Times New Roman" w:cs="Times New Roman"/>
          <w:spacing w:val="-2"/>
          <w:u w:val="single" w:color="000000"/>
        </w:rPr>
        <w:t>e</w:t>
      </w:r>
      <w:r w:rsidRPr="008B580E">
        <w:rPr>
          <w:rFonts w:ascii="Times New Roman" w:eastAsia="Times New Roman" w:hAnsi="Times New Roman" w:cs="Times New Roman"/>
          <w:u w:val="single" w:color="000000"/>
        </w:rPr>
        <w:t>ub</w:t>
      </w:r>
      <w:r w:rsidRPr="008B580E">
        <w:rPr>
          <w:rFonts w:ascii="Times New Roman" w:eastAsia="Times New Roman" w:hAnsi="Times New Roman" w:cs="Times New Roman"/>
          <w:spacing w:val="-2"/>
          <w:u w:val="single" w:color="000000"/>
        </w:rPr>
        <w:t>e</w:t>
      </w:r>
      <w:r w:rsidRPr="008B580E">
        <w:rPr>
          <w:rFonts w:ascii="Times New Roman" w:eastAsia="Times New Roman" w:hAnsi="Times New Roman" w:cs="Times New Roman"/>
          <w:u w:val="single" w:color="000000"/>
        </w:rPr>
        <w:t>rt</w:t>
      </w:r>
      <w:r w:rsidRPr="008B580E">
        <w:rPr>
          <w:rFonts w:ascii="Times New Roman" w:eastAsia="Times New Roman" w:hAnsi="Times New Roman" w:cs="Times New Roman"/>
          <w:spacing w:val="-2"/>
          <w:u w:val="single" w:color="000000"/>
        </w:rPr>
        <w:t xml:space="preserve"> </w:t>
      </w:r>
      <w:r w:rsidRPr="008B580E">
        <w:rPr>
          <w:rFonts w:ascii="Times New Roman" w:eastAsia="Times New Roman" w:hAnsi="Times New Roman" w:cs="Times New Roman"/>
          <w:spacing w:val="1"/>
          <w:u w:val="single" w:color="000000"/>
        </w:rPr>
        <w:t>D</w:t>
      </w:r>
      <w:r w:rsidRPr="008B580E">
        <w:rPr>
          <w:rFonts w:ascii="Times New Roman" w:eastAsia="Times New Roman" w:hAnsi="Times New Roman" w:cs="Times New Roman"/>
          <w:u w:val="single" w:color="000000"/>
        </w:rPr>
        <w:t xml:space="preserve">, </w:t>
      </w:r>
      <w:r w:rsidRPr="008B580E">
        <w:rPr>
          <w:rFonts w:ascii="Times New Roman" w:eastAsia="Times New Roman" w:hAnsi="Times New Roman" w:cs="Times New Roman"/>
          <w:spacing w:val="1"/>
          <w:u w:val="single" w:color="000000"/>
        </w:rPr>
        <w:t>M</w:t>
      </w:r>
      <w:r w:rsidRPr="008B580E">
        <w:rPr>
          <w:rFonts w:ascii="Times New Roman" w:eastAsia="Times New Roman" w:hAnsi="Times New Roman" w:cs="Times New Roman"/>
          <w:spacing w:val="-2"/>
          <w:u w:val="single" w:color="000000"/>
        </w:rPr>
        <w:t>al</w:t>
      </w:r>
      <w:r w:rsidRPr="008B580E">
        <w:rPr>
          <w:rFonts w:ascii="Times New Roman" w:eastAsia="Times New Roman" w:hAnsi="Times New Roman" w:cs="Times New Roman"/>
          <w:u w:val="single" w:color="000000"/>
        </w:rPr>
        <w:t>o</w:t>
      </w:r>
      <w:r w:rsidRPr="008B580E">
        <w:rPr>
          <w:rFonts w:ascii="Times New Roman" w:eastAsia="Times New Roman" w:hAnsi="Times New Roman" w:cs="Times New Roman"/>
          <w:spacing w:val="5"/>
          <w:u w:val="single" w:color="000000"/>
        </w:rPr>
        <w:t>n</w:t>
      </w:r>
      <w:r w:rsidRPr="008B580E">
        <w:rPr>
          <w:rFonts w:ascii="Times New Roman" w:eastAsia="Times New Roman" w:hAnsi="Times New Roman" w:cs="Times New Roman"/>
          <w:u w:val="single" w:color="000000"/>
        </w:rPr>
        <w:t>e</w:t>
      </w:r>
      <w:r w:rsidRPr="008B580E">
        <w:rPr>
          <w:rFonts w:ascii="Times New Roman" w:eastAsia="Times New Roman" w:hAnsi="Times New Roman" w:cs="Times New Roman"/>
          <w:spacing w:val="3"/>
          <w:u w:val="single" w:color="000000"/>
        </w:rPr>
        <w:t xml:space="preserve"> </w:t>
      </w:r>
      <w:r w:rsidRPr="008B580E">
        <w:rPr>
          <w:rFonts w:ascii="Times New Roman" w:eastAsia="Times New Roman" w:hAnsi="Times New Roman" w:cs="Times New Roman"/>
          <w:u w:val="single" w:color="000000"/>
        </w:rPr>
        <w:t>B</w:t>
      </w:r>
    </w:p>
    <w:p w14:paraId="748A49FA" w14:textId="77777777" w:rsidR="005B56E3" w:rsidRPr="008B580E" w:rsidRDefault="005B56E3" w:rsidP="005B56E3">
      <w:pPr>
        <w:spacing w:before="9" w:line="160" w:lineRule="exact"/>
      </w:pPr>
    </w:p>
    <w:p w14:paraId="7844ED55" w14:textId="77777777" w:rsidR="005B56E3" w:rsidRPr="008B580E" w:rsidRDefault="005B56E3" w:rsidP="005B56E3">
      <w:pPr>
        <w:ind w:left="101"/>
      </w:pPr>
      <w:r w:rsidRPr="008B580E">
        <w:rPr>
          <w:rFonts w:ascii="Times New Roman" w:eastAsia="Times New Roman" w:hAnsi="Times New Roman" w:cs="Times New Roman"/>
          <w:spacing w:val="1"/>
        </w:rPr>
        <w:t>NY</w:t>
      </w:r>
      <w:r w:rsidRPr="008B580E">
        <w:rPr>
          <w:rFonts w:ascii="Times New Roman" w:eastAsia="Times New Roman" w:hAnsi="Times New Roman" w:cs="Times New Roman"/>
        </w:rPr>
        <w:t>U</w:t>
      </w:r>
      <w:r w:rsidRPr="008B580E">
        <w:rPr>
          <w:rFonts w:ascii="Times New Roman" w:eastAsia="Times New Roman" w:hAnsi="Times New Roman" w:cs="Times New Roman"/>
          <w:spacing w:val="1"/>
        </w:rPr>
        <w:t xml:space="preserve"> </w:t>
      </w:r>
      <w:r w:rsidRPr="008B580E">
        <w:rPr>
          <w:rFonts w:ascii="Times New Roman" w:eastAsia="Times New Roman" w:hAnsi="Times New Roman" w:cs="Times New Roman"/>
          <w:spacing w:val="-2"/>
        </w:rPr>
        <w:t>La</w:t>
      </w:r>
      <w:r w:rsidRPr="008B580E">
        <w:rPr>
          <w:rFonts w:ascii="Times New Roman" w:eastAsia="Times New Roman" w:hAnsi="Times New Roman" w:cs="Times New Roman"/>
        </w:rPr>
        <w:t>ngone</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spacing w:val="1"/>
        </w:rPr>
        <w:t>H</w:t>
      </w:r>
      <w:r w:rsidRPr="008B580E">
        <w:rPr>
          <w:rFonts w:ascii="Times New Roman" w:eastAsia="Times New Roman" w:hAnsi="Times New Roman" w:cs="Times New Roman"/>
        </w:rPr>
        <w:t>o</w:t>
      </w:r>
      <w:r w:rsidRPr="008B580E">
        <w:rPr>
          <w:rFonts w:ascii="Times New Roman" w:eastAsia="Times New Roman" w:hAnsi="Times New Roman" w:cs="Times New Roman"/>
          <w:spacing w:val="1"/>
        </w:rPr>
        <w:t>s</w:t>
      </w:r>
      <w:r w:rsidRPr="008B580E">
        <w:rPr>
          <w:rFonts w:ascii="Times New Roman" w:eastAsia="Times New Roman" w:hAnsi="Times New Roman" w:cs="Times New Roman"/>
        </w:rPr>
        <w:t>p</w:t>
      </w:r>
      <w:r w:rsidRPr="008B580E">
        <w:rPr>
          <w:rFonts w:ascii="Times New Roman" w:eastAsia="Times New Roman" w:hAnsi="Times New Roman" w:cs="Times New Roman"/>
          <w:spacing w:val="-2"/>
        </w:rPr>
        <w:t>ita</w:t>
      </w:r>
      <w:r w:rsidRPr="008B580E">
        <w:rPr>
          <w:rFonts w:ascii="Times New Roman" w:eastAsia="Times New Roman" w:hAnsi="Times New Roman" w:cs="Times New Roman"/>
          <w:spacing w:val="1"/>
        </w:rPr>
        <w:t>l</w:t>
      </w:r>
      <w:r w:rsidRPr="008B580E">
        <w:rPr>
          <w:rFonts w:ascii="Times New Roman" w:eastAsia="Times New Roman" w:hAnsi="Times New Roman" w:cs="Times New Roman"/>
        </w:rPr>
        <w:t>—</w:t>
      </w:r>
      <w:r w:rsidRPr="008B580E">
        <w:rPr>
          <w:rFonts w:ascii="Times New Roman" w:eastAsia="Times New Roman" w:hAnsi="Times New Roman" w:cs="Times New Roman"/>
          <w:spacing w:val="-2"/>
        </w:rPr>
        <w:t>L</w:t>
      </w:r>
      <w:r w:rsidRPr="008B580E">
        <w:rPr>
          <w:rFonts w:ascii="Times New Roman" w:eastAsia="Times New Roman" w:hAnsi="Times New Roman" w:cs="Times New Roman"/>
        </w:rPr>
        <w:t>ong I</w:t>
      </w:r>
      <w:r w:rsidRPr="008B580E">
        <w:rPr>
          <w:rFonts w:ascii="Times New Roman" w:eastAsia="Times New Roman" w:hAnsi="Times New Roman" w:cs="Times New Roman"/>
          <w:spacing w:val="1"/>
        </w:rPr>
        <w:t>s</w:t>
      </w:r>
      <w:r w:rsidRPr="008B580E">
        <w:rPr>
          <w:rFonts w:ascii="Times New Roman" w:eastAsia="Times New Roman" w:hAnsi="Times New Roman" w:cs="Times New Roman"/>
          <w:spacing w:val="-2"/>
        </w:rPr>
        <w:t>la</w:t>
      </w:r>
      <w:r w:rsidRPr="008B580E">
        <w:rPr>
          <w:rFonts w:ascii="Times New Roman" w:eastAsia="Times New Roman" w:hAnsi="Times New Roman" w:cs="Times New Roman"/>
        </w:rPr>
        <w:t>n</w:t>
      </w:r>
      <w:r w:rsidRPr="008B580E">
        <w:rPr>
          <w:rFonts w:ascii="Times New Roman" w:eastAsia="Times New Roman" w:hAnsi="Times New Roman" w:cs="Times New Roman"/>
          <w:spacing w:val="1"/>
        </w:rPr>
        <w:t>d</w:t>
      </w:r>
      <w:r w:rsidRPr="008B580E">
        <w:rPr>
          <w:rFonts w:ascii="Times New Roman" w:eastAsia="Times New Roman" w:hAnsi="Times New Roman" w:cs="Times New Roman"/>
        </w:rPr>
        <w:t xml:space="preserve">, 259 </w:t>
      </w:r>
      <w:r w:rsidRPr="008B580E">
        <w:rPr>
          <w:rFonts w:ascii="Times New Roman" w:eastAsia="Times New Roman" w:hAnsi="Times New Roman" w:cs="Times New Roman"/>
          <w:spacing w:val="6"/>
        </w:rPr>
        <w:t>1</w:t>
      </w:r>
      <w:r w:rsidRPr="008B580E">
        <w:rPr>
          <w:rFonts w:ascii="Times New Roman" w:eastAsia="Times New Roman" w:hAnsi="Times New Roman" w:cs="Times New Roman"/>
          <w:spacing w:val="-2"/>
          <w:position w:val="9"/>
        </w:rPr>
        <w:t>s</w:t>
      </w:r>
      <w:r w:rsidRPr="008B580E">
        <w:rPr>
          <w:rFonts w:ascii="Times New Roman" w:eastAsia="Times New Roman" w:hAnsi="Times New Roman" w:cs="Times New Roman"/>
          <w:position w:val="9"/>
        </w:rPr>
        <w:t>t</w:t>
      </w:r>
      <w:r w:rsidRPr="008B580E">
        <w:rPr>
          <w:rFonts w:ascii="Times New Roman" w:eastAsia="Times New Roman" w:hAnsi="Times New Roman" w:cs="Times New Roman"/>
          <w:spacing w:val="21"/>
          <w:position w:val="9"/>
        </w:rPr>
        <w:t xml:space="preserve"> </w:t>
      </w:r>
      <w:r w:rsidRPr="008B580E">
        <w:rPr>
          <w:rFonts w:ascii="Times New Roman" w:eastAsia="Times New Roman" w:hAnsi="Times New Roman" w:cs="Times New Roman"/>
          <w:spacing w:val="1"/>
        </w:rPr>
        <w:t>S</w:t>
      </w:r>
      <w:r w:rsidRPr="008B580E">
        <w:rPr>
          <w:rFonts w:ascii="Times New Roman" w:eastAsia="Times New Roman" w:hAnsi="Times New Roman" w:cs="Times New Roman"/>
          <w:spacing w:val="-2"/>
        </w:rPr>
        <w:t>t</w:t>
      </w:r>
      <w:r w:rsidRPr="008B580E">
        <w:rPr>
          <w:rFonts w:ascii="Times New Roman" w:eastAsia="Times New Roman" w:hAnsi="Times New Roman" w:cs="Times New Roman"/>
        </w:rPr>
        <w:t>r</w:t>
      </w:r>
      <w:r w:rsidRPr="008B580E">
        <w:rPr>
          <w:rFonts w:ascii="Times New Roman" w:eastAsia="Times New Roman" w:hAnsi="Times New Roman" w:cs="Times New Roman"/>
          <w:spacing w:val="-1"/>
        </w:rPr>
        <w:t>e</w:t>
      </w:r>
      <w:r w:rsidRPr="008B580E">
        <w:rPr>
          <w:rFonts w:ascii="Times New Roman" w:eastAsia="Times New Roman" w:hAnsi="Times New Roman" w:cs="Times New Roman"/>
          <w:spacing w:val="3"/>
        </w:rPr>
        <w:t>e</w:t>
      </w:r>
      <w:r w:rsidRPr="008B580E">
        <w:rPr>
          <w:rFonts w:ascii="Times New Roman" w:eastAsia="Times New Roman" w:hAnsi="Times New Roman" w:cs="Times New Roman"/>
        </w:rPr>
        <w:t>t</w:t>
      </w:r>
      <w:r w:rsidRPr="008B580E">
        <w:rPr>
          <w:rFonts w:ascii="Times New Roman" w:eastAsia="Times New Roman" w:hAnsi="Times New Roman" w:cs="Times New Roman"/>
          <w:spacing w:val="3"/>
        </w:rPr>
        <w:t xml:space="preserve"> </w:t>
      </w:r>
      <w:r w:rsidRPr="008B580E">
        <w:rPr>
          <w:rFonts w:ascii="Times New Roman" w:eastAsia="Times New Roman" w:hAnsi="Times New Roman" w:cs="Times New Roman"/>
          <w:spacing w:val="1"/>
        </w:rPr>
        <w:t>M</w:t>
      </w:r>
      <w:r w:rsidRPr="008B580E">
        <w:rPr>
          <w:rFonts w:ascii="Times New Roman" w:eastAsia="Times New Roman" w:hAnsi="Times New Roman" w:cs="Times New Roman"/>
          <w:spacing w:val="-2"/>
        </w:rPr>
        <w:t>i</w:t>
      </w:r>
      <w:r w:rsidRPr="008B580E">
        <w:rPr>
          <w:rFonts w:ascii="Times New Roman" w:eastAsia="Times New Roman" w:hAnsi="Times New Roman" w:cs="Times New Roman"/>
        </w:rPr>
        <w:t>n</w:t>
      </w:r>
      <w:r w:rsidRPr="008B580E">
        <w:rPr>
          <w:rFonts w:ascii="Times New Roman" w:eastAsia="Times New Roman" w:hAnsi="Times New Roman" w:cs="Times New Roman"/>
          <w:spacing w:val="-2"/>
        </w:rPr>
        <w:t>e</w:t>
      </w:r>
      <w:r w:rsidRPr="008B580E">
        <w:rPr>
          <w:rFonts w:ascii="Times New Roman" w:eastAsia="Times New Roman" w:hAnsi="Times New Roman" w:cs="Times New Roman"/>
        </w:rPr>
        <w:t>o</w:t>
      </w:r>
      <w:r w:rsidRPr="008B580E">
        <w:rPr>
          <w:rFonts w:ascii="Times New Roman" w:eastAsia="Times New Roman" w:hAnsi="Times New Roman" w:cs="Times New Roman"/>
          <w:spacing w:val="-2"/>
        </w:rPr>
        <w:t>la</w:t>
      </w:r>
      <w:r w:rsidRPr="008B580E">
        <w:rPr>
          <w:rFonts w:ascii="Times New Roman" w:eastAsia="Times New Roman" w:hAnsi="Times New Roman" w:cs="Times New Roman"/>
        </w:rPr>
        <w:t xml:space="preserve">, </w:t>
      </w:r>
      <w:r w:rsidRPr="008B580E">
        <w:rPr>
          <w:rFonts w:ascii="Times New Roman" w:eastAsia="Times New Roman" w:hAnsi="Times New Roman" w:cs="Times New Roman"/>
          <w:spacing w:val="1"/>
        </w:rPr>
        <w:t>N</w:t>
      </w:r>
      <w:r w:rsidRPr="008B580E">
        <w:rPr>
          <w:rFonts w:ascii="Times New Roman" w:eastAsia="Times New Roman" w:hAnsi="Times New Roman" w:cs="Times New Roman"/>
        </w:rPr>
        <w:t>Y</w:t>
      </w:r>
      <w:r w:rsidRPr="008B580E">
        <w:rPr>
          <w:rFonts w:ascii="Times New Roman" w:eastAsia="Times New Roman" w:hAnsi="Times New Roman" w:cs="Times New Roman"/>
          <w:spacing w:val="1"/>
        </w:rPr>
        <w:t xml:space="preserve"> </w:t>
      </w:r>
      <w:r w:rsidRPr="008B580E">
        <w:rPr>
          <w:rFonts w:ascii="Times New Roman" w:eastAsia="Times New Roman" w:hAnsi="Times New Roman" w:cs="Times New Roman"/>
        </w:rPr>
        <w:t>11501</w:t>
      </w:r>
    </w:p>
    <w:p w14:paraId="0751DD47" w14:textId="77777777" w:rsidR="005B56E3" w:rsidRPr="008B580E" w:rsidRDefault="005B56E3" w:rsidP="005B56E3">
      <w:pPr>
        <w:spacing w:line="200" w:lineRule="exact"/>
      </w:pPr>
    </w:p>
    <w:p w14:paraId="6AA2A8F5" w14:textId="77777777" w:rsidR="005B56E3" w:rsidRPr="008B580E" w:rsidRDefault="005B56E3" w:rsidP="005B56E3">
      <w:pPr>
        <w:spacing w:line="200" w:lineRule="exact"/>
      </w:pPr>
    </w:p>
    <w:p w14:paraId="7D38B9BC" w14:textId="77777777" w:rsidR="005B56E3" w:rsidRPr="008B580E" w:rsidRDefault="005B56E3" w:rsidP="005B56E3">
      <w:pPr>
        <w:spacing w:before="19" w:line="220" w:lineRule="exact"/>
      </w:pPr>
    </w:p>
    <w:p w14:paraId="043A4F5F" w14:textId="77777777" w:rsidR="005B56E3" w:rsidRPr="008B580E" w:rsidRDefault="005B56E3" w:rsidP="005B56E3">
      <w:pPr>
        <w:spacing w:line="259" w:lineRule="auto"/>
        <w:ind w:left="101" w:right="374"/>
      </w:pPr>
      <w:r w:rsidRPr="008B580E">
        <w:rPr>
          <w:rFonts w:ascii="Times New Roman" w:eastAsia="Times New Roman" w:hAnsi="Times New Roman" w:cs="Times New Roman"/>
          <w:b/>
        </w:rPr>
        <w:t>Ba</w:t>
      </w:r>
      <w:r w:rsidRPr="008B580E">
        <w:rPr>
          <w:rFonts w:ascii="Times New Roman" w:eastAsia="Times New Roman" w:hAnsi="Times New Roman" w:cs="Times New Roman"/>
          <w:b/>
          <w:spacing w:val="-2"/>
        </w:rPr>
        <w:t>c</w:t>
      </w:r>
      <w:r w:rsidRPr="008B580E">
        <w:rPr>
          <w:rFonts w:ascii="Times New Roman" w:eastAsia="Times New Roman" w:hAnsi="Times New Roman" w:cs="Times New Roman"/>
          <w:b/>
          <w:spacing w:val="1"/>
        </w:rPr>
        <w:t>k</w:t>
      </w:r>
      <w:r w:rsidRPr="008B580E">
        <w:rPr>
          <w:rFonts w:ascii="Times New Roman" w:eastAsia="Times New Roman" w:hAnsi="Times New Roman" w:cs="Times New Roman"/>
          <w:b/>
        </w:rPr>
        <w:t>g</w:t>
      </w:r>
      <w:r w:rsidRPr="008B580E">
        <w:rPr>
          <w:rFonts w:ascii="Times New Roman" w:eastAsia="Times New Roman" w:hAnsi="Times New Roman" w:cs="Times New Roman"/>
          <w:b/>
          <w:spacing w:val="-2"/>
        </w:rPr>
        <w:t>r</w:t>
      </w:r>
      <w:r w:rsidRPr="008B580E">
        <w:rPr>
          <w:rFonts w:ascii="Times New Roman" w:eastAsia="Times New Roman" w:hAnsi="Times New Roman" w:cs="Times New Roman"/>
          <w:b/>
        </w:rPr>
        <w:t>o</w:t>
      </w:r>
      <w:r w:rsidRPr="008B580E">
        <w:rPr>
          <w:rFonts w:ascii="Times New Roman" w:eastAsia="Times New Roman" w:hAnsi="Times New Roman" w:cs="Times New Roman"/>
          <w:b/>
          <w:spacing w:val="1"/>
        </w:rPr>
        <w:t>und</w:t>
      </w:r>
      <w:r w:rsidRPr="008B580E">
        <w:rPr>
          <w:rFonts w:ascii="Times New Roman" w:eastAsia="Times New Roman" w:hAnsi="Times New Roman" w:cs="Times New Roman"/>
          <w:b/>
        </w:rPr>
        <w:t>:</w:t>
      </w:r>
      <w:r w:rsidRPr="008B580E">
        <w:rPr>
          <w:rFonts w:ascii="Times New Roman" w:eastAsia="Times New Roman" w:hAnsi="Times New Roman" w:cs="Times New Roman"/>
          <w:b/>
          <w:spacing w:val="1"/>
        </w:rPr>
        <w:t xml:space="preserve"> </w:t>
      </w:r>
      <w:r w:rsidRPr="008B580E">
        <w:rPr>
          <w:rFonts w:ascii="Times New Roman" w:eastAsia="Times New Roman" w:hAnsi="Times New Roman" w:cs="Times New Roman"/>
          <w:spacing w:val="1"/>
        </w:rPr>
        <w:t>O</w:t>
      </w:r>
      <w:r w:rsidRPr="008B580E">
        <w:rPr>
          <w:rFonts w:ascii="Times New Roman" w:eastAsia="Times New Roman" w:hAnsi="Times New Roman" w:cs="Times New Roman"/>
        </w:rPr>
        <w:t>p</w:t>
      </w:r>
      <w:r w:rsidRPr="008B580E">
        <w:rPr>
          <w:rFonts w:ascii="Times New Roman" w:eastAsia="Times New Roman" w:hAnsi="Times New Roman" w:cs="Times New Roman"/>
          <w:spacing w:val="-2"/>
        </w:rPr>
        <w:t>i</w:t>
      </w:r>
      <w:r w:rsidRPr="008B580E">
        <w:rPr>
          <w:rFonts w:ascii="Times New Roman" w:eastAsia="Times New Roman" w:hAnsi="Times New Roman" w:cs="Times New Roman"/>
        </w:rPr>
        <w:t>o</w:t>
      </w:r>
      <w:r w:rsidRPr="008B580E">
        <w:rPr>
          <w:rFonts w:ascii="Times New Roman" w:eastAsia="Times New Roman" w:hAnsi="Times New Roman" w:cs="Times New Roman"/>
          <w:spacing w:val="-2"/>
        </w:rPr>
        <w:t>i</w:t>
      </w:r>
      <w:r w:rsidRPr="008B580E">
        <w:rPr>
          <w:rFonts w:ascii="Times New Roman" w:eastAsia="Times New Roman" w:hAnsi="Times New Roman" w:cs="Times New Roman"/>
        </w:rPr>
        <w:t>d</w:t>
      </w:r>
      <w:r w:rsidRPr="008B580E">
        <w:rPr>
          <w:rFonts w:ascii="Times New Roman" w:eastAsia="Times New Roman" w:hAnsi="Times New Roman" w:cs="Times New Roman"/>
          <w:spacing w:val="1"/>
        </w:rPr>
        <w:t xml:space="preserve"> </w:t>
      </w:r>
      <w:r w:rsidRPr="008B580E">
        <w:rPr>
          <w:rFonts w:ascii="Times New Roman" w:eastAsia="Times New Roman" w:hAnsi="Times New Roman" w:cs="Times New Roman"/>
        </w:rPr>
        <w:t>r</w:t>
      </w:r>
      <w:r w:rsidRPr="008B580E">
        <w:rPr>
          <w:rFonts w:ascii="Times New Roman" w:eastAsia="Times New Roman" w:hAnsi="Times New Roman" w:cs="Times New Roman"/>
          <w:spacing w:val="-1"/>
        </w:rPr>
        <w:t>e</w:t>
      </w:r>
      <w:r w:rsidRPr="008B580E">
        <w:rPr>
          <w:rFonts w:ascii="Times New Roman" w:eastAsia="Times New Roman" w:hAnsi="Times New Roman" w:cs="Times New Roman"/>
          <w:spacing w:val="-2"/>
        </w:rPr>
        <w:t>late</w:t>
      </w:r>
      <w:r w:rsidRPr="008B580E">
        <w:rPr>
          <w:rFonts w:ascii="Times New Roman" w:eastAsia="Times New Roman" w:hAnsi="Times New Roman" w:cs="Times New Roman"/>
        </w:rPr>
        <w:t>d o</w:t>
      </w:r>
      <w:r w:rsidRPr="008B580E">
        <w:rPr>
          <w:rFonts w:ascii="Times New Roman" w:eastAsia="Times New Roman" w:hAnsi="Times New Roman" w:cs="Times New Roman"/>
          <w:spacing w:val="5"/>
        </w:rPr>
        <w:t>v</w:t>
      </w:r>
      <w:r w:rsidRPr="008B580E">
        <w:rPr>
          <w:rFonts w:ascii="Times New Roman" w:eastAsia="Times New Roman" w:hAnsi="Times New Roman" w:cs="Times New Roman"/>
          <w:spacing w:val="-2"/>
        </w:rPr>
        <w:t>e</w:t>
      </w:r>
      <w:r w:rsidRPr="008B580E">
        <w:rPr>
          <w:rFonts w:ascii="Times New Roman" w:eastAsia="Times New Roman" w:hAnsi="Times New Roman" w:cs="Times New Roman"/>
        </w:rPr>
        <w:t>rdo</w:t>
      </w:r>
      <w:r w:rsidRPr="008B580E">
        <w:rPr>
          <w:rFonts w:ascii="Times New Roman" w:eastAsia="Times New Roman" w:hAnsi="Times New Roman" w:cs="Times New Roman"/>
          <w:spacing w:val="1"/>
        </w:rPr>
        <w:t>s</w:t>
      </w:r>
      <w:r w:rsidRPr="008B580E">
        <w:rPr>
          <w:rFonts w:ascii="Times New Roman" w:eastAsia="Times New Roman" w:hAnsi="Times New Roman" w:cs="Times New Roman"/>
        </w:rPr>
        <w:t>e</w:t>
      </w:r>
      <w:r w:rsidRPr="008B580E">
        <w:rPr>
          <w:rFonts w:ascii="Times New Roman" w:eastAsia="Times New Roman" w:hAnsi="Times New Roman" w:cs="Times New Roman"/>
          <w:spacing w:val="-1"/>
        </w:rPr>
        <w:t xml:space="preserve"> </w:t>
      </w:r>
      <w:r w:rsidRPr="008B580E">
        <w:rPr>
          <w:rFonts w:ascii="Times New Roman" w:eastAsia="Times New Roman" w:hAnsi="Times New Roman" w:cs="Times New Roman"/>
        </w:rPr>
        <w:t>(</w:t>
      </w:r>
      <w:r w:rsidRPr="008B580E">
        <w:rPr>
          <w:rFonts w:ascii="Times New Roman" w:eastAsia="Times New Roman" w:hAnsi="Times New Roman" w:cs="Times New Roman"/>
          <w:spacing w:val="1"/>
        </w:rPr>
        <w:t>O</w:t>
      </w:r>
      <w:r w:rsidRPr="008B580E">
        <w:rPr>
          <w:rFonts w:ascii="Times New Roman" w:eastAsia="Times New Roman" w:hAnsi="Times New Roman" w:cs="Times New Roman"/>
        </w:rPr>
        <w:t>R</w:t>
      </w:r>
      <w:r w:rsidRPr="008B580E">
        <w:rPr>
          <w:rFonts w:ascii="Times New Roman" w:eastAsia="Times New Roman" w:hAnsi="Times New Roman" w:cs="Times New Roman"/>
          <w:spacing w:val="1"/>
        </w:rPr>
        <w:t>O</w:t>
      </w:r>
      <w:r w:rsidRPr="008B580E">
        <w:rPr>
          <w:rFonts w:ascii="Times New Roman" w:eastAsia="Times New Roman" w:hAnsi="Times New Roman" w:cs="Times New Roman"/>
        </w:rPr>
        <w:t>)</w:t>
      </w:r>
      <w:r w:rsidRPr="008B580E">
        <w:rPr>
          <w:rFonts w:ascii="Times New Roman" w:eastAsia="Times New Roman" w:hAnsi="Times New Roman" w:cs="Times New Roman"/>
          <w:spacing w:val="1"/>
        </w:rPr>
        <w:t xml:space="preserve"> </w:t>
      </w:r>
      <w:r w:rsidRPr="008B580E">
        <w:rPr>
          <w:rFonts w:ascii="Times New Roman" w:eastAsia="Times New Roman" w:hAnsi="Times New Roman" w:cs="Times New Roman"/>
          <w:spacing w:val="-2"/>
        </w:rPr>
        <w:t>i</w:t>
      </w:r>
      <w:r w:rsidRPr="008B580E">
        <w:rPr>
          <w:rFonts w:ascii="Times New Roman" w:eastAsia="Times New Roman" w:hAnsi="Times New Roman" w:cs="Times New Roman"/>
        </w:rPr>
        <w:t>s</w:t>
      </w:r>
      <w:r w:rsidRPr="008B580E">
        <w:rPr>
          <w:rFonts w:ascii="Times New Roman" w:eastAsia="Times New Roman" w:hAnsi="Times New Roman" w:cs="Times New Roman"/>
          <w:spacing w:val="1"/>
        </w:rPr>
        <w:t xml:space="preserve"> </w:t>
      </w:r>
      <w:r w:rsidRPr="008B580E">
        <w:rPr>
          <w:rFonts w:ascii="Times New Roman" w:eastAsia="Times New Roman" w:hAnsi="Times New Roman" w:cs="Times New Roman"/>
        </w:rPr>
        <w:t>one</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rPr>
        <w:t xml:space="preserve">of </w:t>
      </w:r>
      <w:r w:rsidRPr="008B580E">
        <w:rPr>
          <w:rFonts w:ascii="Times New Roman" w:eastAsia="Times New Roman" w:hAnsi="Times New Roman" w:cs="Times New Roman"/>
          <w:spacing w:val="-2"/>
        </w:rPr>
        <w:t>t</w:t>
      </w:r>
      <w:r w:rsidRPr="008B580E">
        <w:rPr>
          <w:rFonts w:ascii="Times New Roman" w:eastAsia="Times New Roman" w:hAnsi="Times New Roman" w:cs="Times New Roman"/>
        </w:rPr>
        <w:t>he</w:t>
      </w:r>
      <w:r w:rsidRPr="008B580E">
        <w:rPr>
          <w:rFonts w:ascii="Times New Roman" w:eastAsia="Times New Roman" w:hAnsi="Times New Roman" w:cs="Times New Roman"/>
          <w:spacing w:val="-2"/>
        </w:rPr>
        <w:t xml:space="preserve"> l</w:t>
      </w:r>
      <w:r w:rsidRPr="008B580E">
        <w:rPr>
          <w:rFonts w:ascii="Times New Roman" w:eastAsia="Times New Roman" w:hAnsi="Times New Roman" w:cs="Times New Roman"/>
          <w:spacing w:val="3"/>
        </w:rPr>
        <w:t>e</w:t>
      </w:r>
      <w:r w:rsidRPr="008B580E">
        <w:rPr>
          <w:rFonts w:ascii="Times New Roman" w:eastAsia="Times New Roman" w:hAnsi="Times New Roman" w:cs="Times New Roman"/>
          <w:spacing w:val="-2"/>
        </w:rPr>
        <w:t>a</w:t>
      </w:r>
      <w:r w:rsidRPr="008B580E">
        <w:rPr>
          <w:rFonts w:ascii="Times New Roman" w:eastAsia="Times New Roman" w:hAnsi="Times New Roman" w:cs="Times New Roman"/>
        </w:rPr>
        <w:t>d</w:t>
      </w:r>
      <w:r w:rsidRPr="008B580E">
        <w:rPr>
          <w:rFonts w:ascii="Times New Roman" w:eastAsia="Times New Roman" w:hAnsi="Times New Roman" w:cs="Times New Roman"/>
          <w:spacing w:val="-2"/>
        </w:rPr>
        <w:t>i</w:t>
      </w:r>
      <w:r w:rsidRPr="008B580E">
        <w:rPr>
          <w:rFonts w:ascii="Times New Roman" w:eastAsia="Times New Roman" w:hAnsi="Times New Roman" w:cs="Times New Roman"/>
        </w:rPr>
        <w:t xml:space="preserve">ng </w:t>
      </w:r>
      <w:r w:rsidRPr="008B580E">
        <w:rPr>
          <w:rFonts w:ascii="Times New Roman" w:eastAsia="Times New Roman" w:hAnsi="Times New Roman" w:cs="Times New Roman"/>
          <w:spacing w:val="3"/>
        </w:rPr>
        <w:t>c</w:t>
      </w:r>
      <w:r w:rsidRPr="008B580E">
        <w:rPr>
          <w:rFonts w:ascii="Times New Roman" w:eastAsia="Times New Roman" w:hAnsi="Times New Roman" w:cs="Times New Roman"/>
          <w:spacing w:val="-2"/>
        </w:rPr>
        <w:t>a</w:t>
      </w:r>
      <w:r w:rsidRPr="008B580E">
        <w:rPr>
          <w:rFonts w:ascii="Times New Roman" w:eastAsia="Times New Roman" w:hAnsi="Times New Roman" w:cs="Times New Roman"/>
        </w:rPr>
        <w:t>u</w:t>
      </w:r>
      <w:r w:rsidRPr="008B580E">
        <w:rPr>
          <w:rFonts w:ascii="Times New Roman" w:eastAsia="Times New Roman" w:hAnsi="Times New Roman" w:cs="Times New Roman"/>
          <w:spacing w:val="1"/>
        </w:rPr>
        <w:t>s</w:t>
      </w:r>
      <w:r w:rsidRPr="008B580E">
        <w:rPr>
          <w:rFonts w:ascii="Times New Roman" w:eastAsia="Times New Roman" w:hAnsi="Times New Roman" w:cs="Times New Roman"/>
          <w:spacing w:val="-2"/>
        </w:rPr>
        <w:t>e</w:t>
      </w:r>
      <w:r w:rsidRPr="008B580E">
        <w:rPr>
          <w:rFonts w:ascii="Times New Roman" w:eastAsia="Times New Roman" w:hAnsi="Times New Roman" w:cs="Times New Roman"/>
        </w:rPr>
        <w:t>s</w:t>
      </w:r>
      <w:r w:rsidRPr="008B580E">
        <w:rPr>
          <w:rFonts w:ascii="Times New Roman" w:eastAsia="Times New Roman" w:hAnsi="Times New Roman" w:cs="Times New Roman"/>
          <w:spacing w:val="1"/>
        </w:rPr>
        <w:t xml:space="preserve"> </w:t>
      </w:r>
      <w:r w:rsidRPr="008B580E">
        <w:rPr>
          <w:rFonts w:ascii="Times New Roman" w:eastAsia="Times New Roman" w:hAnsi="Times New Roman" w:cs="Times New Roman"/>
        </w:rPr>
        <w:t xml:space="preserve">of </w:t>
      </w:r>
      <w:r w:rsidRPr="008B580E">
        <w:rPr>
          <w:rFonts w:ascii="Times New Roman" w:eastAsia="Times New Roman" w:hAnsi="Times New Roman" w:cs="Times New Roman"/>
          <w:spacing w:val="-2"/>
        </w:rPr>
        <w:t>i</w:t>
      </w:r>
      <w:r w:rsidRPr="008B580E">
        <w:rPr>
          <w:rFonts w:ascii="Times New Roman" w:eastAsia="Times New Roman" w:hAnsi="Times New Roman" w:cs="Times New Roman"/>
        </w:rPr>
        <w:t>n</w:t>
      </w:r>
      <w:r w:rsidRPr="008B580E">
        <w:rPr>
          <w:rFonts w:ascii="Times New Roman" w:eastAsia="Times New Roman" w:hAnsi="Times New Roman" w:cs="Times New Roman"/>
          <w:spacing w:val="-2"/>
        </w:rPr>
        <w:t>j</w:t>
      </w:r>
      <w:r w:rsidRPr="008B580E">
        <w:rPr>
          <w:rFonts w:ascii="Times New Roman" w:eastAsia="Times New Roman" w:hAnsi="Times New Roman" w:cs="Times New Roman"/>
        </w:rPr>
        <w:t>ur</w:t>
      </w:r>
      <w:r w:rsidRPr="008B580E">
        <w:rPr>
          <w:rFonts w:ascii="Times New Roman" w:eastAsia="Times New Roman" w:hAnsi="Times New Roman" w:cs="Times New Roman"/>
          <w:spacing w:val="3"/>
        </w:rPr>
        <w:t>y</w:t>
      </w:r>
      <w:r w:rsidRPr="008B580E">
        <w:rPr>
          <w:rFonts w:ascii="Times New Roman" w:eastAsia="Times New Roman" w:hAnsi="Times New Roman" w:cs="Times New Roman"/>
        </w:rPr>
        <w:t>-r</w:t>
      </w:r>
      <w:r w:rsidRPr="008B580E">
        <w:rPr>
          <w:rFonts w:ascii="Times New Roman" w:eastAsia="Times New Roman" w:hAnsi="Times New Roman" w:cs="Times New Roman"/>
          <w:spacing w:val="-1"/>
        </w:rPr>
        <w:t>e</w:t>
      </w:r>
      <w:r w:rsidRPr="008B580E">
        <w:rPr>
          <w:rFonts w:ascii="Times New Roman" w:eastAsia="Times New Roman" w:hAnsi="Times New Roman" w:cs="Times New Roman"/>
          <w:spacing w:val="3"/>
        </w:rPr>
        <w:t>l</w:t>
      </w:r>
      <w:r w:rsidRPr="008B580E">
        <w:rPr>
          <w:rFonts w:ascii="Times New Roman" w:eastAsia="Times New Roman" w:hAnsi="Times New Roman" w:cs="Times New Roman"/>
          <w:spacing w:val="-2"/>
        </w:rPr>
        <w:t>ate</w:t>
      </w:r>
      <w:r w:rsidRPr="008B580E">
        <w:rPr>
          <w:rFonts w:ascii="Times New Roman" w:eastAsia="Times New Roman" w:hAnsi="Times New Roman" w:cs="Times New Roman"/>
        </w:rPr>
        <w:t>d d</w:t>
      </w:r>
      <w:r w:rsidRPr="008B580E">
        <w:rPr>
          <w:rFonts w:ascii="Times New Roman" w:eastAsia="Times New Roman" w:hAnsi="Times New Roman" w:cs="Times New Roman"/>
          <w:spacing w:val="-2"/>
        </w:rPr>
        <w:t>eat</w:t>
      </w:r>
      <w:r w:rsidRPr="008B580E">
        <w:rPr>
          <w:rFonts w:ascii="Times New Roman" w:eastAsia="Times New Roman" w:hAnsi="Times New Roman" w:cs="Times New Roman"/>
        </w:rPr>
        <w:t>hs</w:t>
      </w:r>
      <w:r w:rsidRPr="008B580E">
        <w:rPr>
          <w:rFonts w:ascii="Times New Roman" w:eastAsia="Times New Roman" w:hAnsi="Times New Roman" w:cs="Times New Roman"/>
          <w:spacing w:val="1"/>
        </w:rPr>
        <w:t xml:space="preserve"> </w:t>
      </w:r>
      <w:r w:rsidRPr="008B580E">
        <w:rPr>
          <w:rFonts w:ascii="Times New Roman" w:eastAsia="Times New Roman" w:hAnsi="Times New Roman" w:cs="Times New Roman"/>
          <w:spacing w:val="-2"/>
        </w:rPr>
        <w:t>i</w:t>
      </w:r>
      <w:r w:rsidRPr="008B580E">
        <w:rPr>
          <w:rFonts w:ascii="Times New Roman" w:eastAsia="Times New Roman" w:hAnsi="Times New Roman" w:cs="Times New Roman"/>
        </w:rPr>
        <w:t xml:space="preserve">n </w:t>
      </w:r>
      <w:r w:rsidRPr="008B580E">
        <w:rPr>
          <w:rFonts w:ascii="Times New Roman" w:eastAsia="Times New Roman" w:hAnsi="Times New Roman" w:cs="Times New Roman"/>
          <w:spacing w:val="-2"/>
        </w:rPr>
        <w:t>t</w:t>
      </w:r>
      <w:r w:rsidRPr="008B580E">
        <w:rPr>
          <w:rFonts w:ascii="Times New Roman" w:eastAsia="Times New Roman" w:hAnsi="Times New Roman" w:cs="Times New Roman"/>
          <w:spacing w:val="5"/>
        </w:rPr>
        <w:t>h</w:t>
      </w:r>
      <w:r w:rsidRPr="008B580E">
        <w:rPr>
          <w:rFonts w:ascii="Times New Roman" w:eastAsia="Times New Roman" w:hAnsi="Times New Roman" w:cs="Times New Roman"/>
        </w:rPr>
        <w:t>e</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spacing w:val="1"/>
        </w:rPr>
        <w:t>U</w:t>
      </w:r>
      <w:r w:rsidRPr="008B580E">
        <w:rPr>
          <w:rFonts w:ascii="Times New Roman" w:eastAsia="Times New Roman" w:hAnsi="Times New Roman" w:cs="Times New Roman"/>
        </w:rPr>
        <w:t>n</w:t>
      </w:r>
      <w:r w:rsidRPr="008B580E">
        <w:rPr>
          <w:rFonts w:ascii="Times New Roman" w:eastAsia="Times New Roman" w:hAnsi="Times New Roman" w:cs="Times New Roman"/>
          <w:spacing w:val="-2"/>
        </w:rPr>
        <w:t>ite</w:t>
      </w:r>
      <w:r w:rsidRPr="008B580E">
        <w:rPr>
          <w:rFonts w:ascii="Times New Roman" w:eastAsia="Times New Roman" w:hAnsi="Times New Roman" w:cs="Times New Roman"/>
        </w:rPr>
        <w:t xml:space="preserve">d </w:t>
      </w:r>
      <w:r w:rsidRPr="008B580E">
        <w:rPr>
          <w:rFonts w:ascii="Times New Roman" w:eastAsia="Times New Roman" w:hAnsi="Times New Roman" w:cs="Times New Roman"/>
          <w:spacing w:val="1"/>
        </w:rPr>
        <w:t>S</w:t>
      </w:r>
      <w:r w:rsidRPr="008B580E">
        <w:rPr>
          <w:rFonts w:ascii="Times New Roman" w:eastAsia="Times New Roman" w:hAnsi="Times New Roman" w:cs="Times New Roman"/>
          <w:spacing w:val="3"/>
        </w:rPr>
        <w:t>t</w:t>
      </w:r>
      <w:r w:rsidRPr="008B580E">
        <w:rPr>
          <w:rFonts w:ascii="Times New Roman" w:eastAsia="Times New Roman" w:hAnsi="Times New Roman" w:cs="Times New Roman"/>
          <w:spacing w:val="-2"/>
        </w:rPr>
        <w:t>ate</w:t>
      </w:r>
      <w:r w:rsidRPr="008B580E">
        <w:rPr>
          <w:rFonts w:ascii="Times New Roman" w:eastAsia="Times New Roman" w:hAnsi="Times New Roman" w:cs="Times New Roman"/>
          <w:spacing w:val="1"/>
        </w:rPr>
        <w:t>s</w:t>
      </w:r>
      <w:r w:rsidRPr="008B580E">
        <w:rPr>
          <w:rFonts w:ascii="Times New Roman" w:eastAsia="Times New Roman" w:hAnsi="Times New Roman" w:cs="Times New Roman"/>
        </w:rPr>
        <w:t>.</w:t>
      </w:r>
      <w:r w:rsidRPr="008B580E">
        <w:rPr>
          <w:rFonts w:ascii="Times New Roman" w:eastAsia="Times New Roman" w:hAnsi="Times New Roman" w:cs="Times New Roman"/>
          <w:spacing w:val="3"/>
        </w:rPr>
        <w:t xml:space="preserve"> </w:t>
      </w:r>
      <w:r w:rsidRPr="008B580E">
        <w:rPr>
          <w:rFonts w:ascii="Times New Roman" w:eastAsia="Times New Roman" w:hAnsi="Times New Roman" w:cs="Times New Roman"/>
          <w:spacing w:val="1"/>
        </w:rPr>
        <w:t>P</w:t>
      </w:r>
      <w:r w:rsidRPr="008B580E">
        <w:rPr>
          <w:rFonts w:ascii="Times New Roman" w:eastAsia="Times New Roman" w:hAnsi="Times New Roman" w:cs="Times New Roman"/>
        </w:rPr>
        <w:t>rov</w:t>
      </w:r>
      <w:r w:rsidRPr="008B580E">
        <w:rPr>
          <w:rFonts w:ascii="Times New Roman" w:eastAsia="Times New Roman" w:hAnsi="Times New Roman" w:cs="Times New Roman"/>
          <w:spacing w:val="-2"/>
        </w:rPr>
        <w:t>i</w:t>
      </w:r>
      <w:r w:rsidRPr="008B580E">
        <w:rPr>
          <w:rFonts w:ascii="Times New Roman" w:eastAsia="Times New Roman" w:hAnsi="Times New Roman" w:cs="Times New Roman"/>
        </w:rPr>
        <w:t>d</w:t>
      </w:r>
      <w:r w:rsidRPr="008B580E">
        <w:rPr>
          <w:rFonts w:ascii="Times New Roman" w:eastAsia="Times New Roman" w:hAnsi="Times New Roman" w:cs="Times New Roman"/>
          <w:spacing w:val="-2"/>
        </w:rPr>
        <w:t>i</w:t>
      </w:r>
      <w:r w:rsidRPr="008B580E">
        <w:rPr>
          <w:rFonts w:ascii="Times New Roman" w:eastAsia="Times New Roman" w:hAnsi="Times New Roman" w:cs="Times New Roman"/>
        </w:rPr>
        <w:t xml:space="preserve">ng </w:t>
      </w:r>
      <w:r w:rsidRPr="008B580E">
        <w:rPr>
          <w:rFonts w:ascii="Times New Roman" w:eastAsia="Times New Roman" w:hAnsi="Times New Roman" w:cs="Times New Roman"/>
          <w:spacing w:val="5"/>
        </w:rPr>
        <w:t>n</w:t>
      </w:r>
      <w:r w:rsidRPr="008B580E">
        <w:rPr>
          <w:rFonts w:ascii="Times New Roman" w:eastAsia="Times New Roman" w:hAnsi="Times New Roman" w:cs="Times New Roman"/>
          <w:spacing w:val="-2"/>
        </w:rPr>
        <w:t>al</w:t>
      </w:r>
      <w:r w:rsidRPr="008B580E">
        <w:rPr>
          <w:rFonts w:ascii="Times New Roman" w:eastAsia="Times New Roman" w:hAnsi="Times New Roman" w:cs="Times New Roman"/>
        </w:rPr>
        <w:t>oxone</w:t>
      </w:r>
      <w:r w:rsidRPr="008B580E">
        <w:rPr>
          <w:rFonts w:ascii="Times New Roman" w:eastAsia="Times New Roman" w:hAnsi="Times New Roman" w:cs="Times New Roman"/>
          <w:spacing w:val="3"/>
        </w:rPr>
        <w:t xml:space="preserve"> </w:t>
      </w:r>
      <w:r w:rsidRPr="008B580E">
        <w:rPr>
          <w:rFonts w:ascii="Times New Roman" w:eastAsia="Times New Roman" w:hAnsi="Times New Roman" w:cs="Times New Roman"/>
          <w:spacing w:val="-2"/>
        </w:rPr>
        <w:t>t</w:t>
      </w:r>
      <w:r w:rsidRPr="008B580E">
        <w:rPr>
          <w:rFonts w:ascii="Times New Roman" w:eastAsia="Times New Roman" w:hAnsi="Times New Roman" w:cs="Times New Roman"/>
        </w:rPr>
        <w:t>o p</w:t>
      </w:r>
      <w:r w:rsidRPr="008B580E">
        <w:rPr>
          <w:rFonts w:ascii="Times New Roman" w:eastAsia="Times New Roman" w:hAnsi="Times New Roman" w:cs="Times New Roman"/>
          <w:spacing w:val="3"/>
        </w:rPr>
        <w:t>a</w:t>
      </w:r>
      <w:r w:rsidRPr="008B580E">
        <w:rPr>
          <w:rFonts w:ascii="Times New Roman" w:eastAsia="Times New Roman" w:hAnsi="Times New Roman" w:cs="Times New Roman"/>
          <w:spacing w:val="-2"/>
        </w:rPr>
        <w:t>tie</w:t>
      </w:r>
      <w:r w:rsidRPr="008B580E">
        <w:rPr>
          <w:rFonts w:ascii="Times New Roman" w:eastAsia="Times New Roman" w:hAnsi="Times New Roman" w:cs="Times New Roman"/>
        </w:rPr>
        <w:t>n</w:t>
      </w:r>
      <w:r w:rsidRPr="008B580E">
        <w:rPr>
          <w:rFonts w:ascii="Times New Roman" w:eastAsia="Times New Roman" w:hAnsi="Times New Roman" w:cs="Times New Roman"/>
          <w:spacing w:val="-2"/>
        </w:rPr>
        <w:t>t</w:t>
      </w:r>
      <w:r w:rsidRPr="008B580E">
        <w:rPr>
          <w:rFonts w:ascii="Times New Roman" w:eastAsia="Times New Roman" w:hAnsi="Times New Roman" w:cs="Times New Roman"/>
        </w:rPr>
        <w:t>s</w:t>
      </w:r>
      <w:r w:rsidRPr="008B580E">
        <w:rPr>
          <w:rFonts w:ascii="Times New Roman" w:eastAsia="Times New Roman" w:hAnsi="Times New Roman" w:cs="Times New Roman"/>
          <w:spacing w:val="1"/>
        </w:rPr>
        <w:t xml:space="preserve"> </w:t>
      </w:r>
      <w:r w:rsidRPr="008B580E">
        <w:rPr>
          <w:rFonts w:ascii="Times New Roman" w:eastAsia="Times New Roman" w:hAnsi="Times New Roman" w:cs="Times New Roman"/>
          <w:spacing w:val="3"/>
        </w:rPr>
        <w:t>a</w:t>
      </w:r>
      <w:r w:rsidRPr="008B580E">
        <w:rPr>
          <w:rFonts w:ascii="Times New Roman" w:eastAsia="Times New Roman" w:hAnsi="Times New Roman" w:cs="Times New Roman"/>
        </w:rPr>
        <w:t>t</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rPr>
        <w:t>r</w:t>
      </w:r>
      <w:r w:rsidRPr="008B580E">
        <w:rPr>
          <w:rFonts w:ascii="Times New Roman" w:eastAsia="Times New Roman" w:hAnsi="Times New Roman" w:cs="Times New Roman"/>
          <w:spacing w:val="-2"/>
        </w:rPr>
        <w:t>i</w:t>
      </w:r>
      <w:r w:rsidRPr="008B580E">
        <w:rPr>
          <w:rFonts w:ascii="Times New Roman" w:eastAsia="Times New Roman" w:hAnsi="Times New Roman" w:cs="Times New Roman"/>
          <w:spacing w:val="1"/>
        </w:rPr>
        <w:t>s</w:t>
      </w:r>
      <w:r w:rsidRPr="008B580E">
        <w:rPr>
          <w:rFonts w:ascii="Times New Roman" w:eastAsia="Times New Roman" w:hAnsi="Times New Roman" w:cs="Times New Roman"/>
        </w:rPr>
        <w:t>k of</w:t>
      </w:r>
      <w:r w:rsidRPr="008B580E">
        <w:rPr>
          <w:rFonts w:ascii="Times New Roman" w:eastAsia="Times New Roman" w:hAnsi="Times New Roman" w:cs="Times New Roman"/>
          <w:spacing w:val="4"/>
        </w:rPr>
        <w:t xml:space="preserve"> </w:t>
      </w:r>
      <w:r w:rsidRPr="008B580E">
        <w:rPr>
          <w:rFonts w:ascii="Times New Roman" w:eastAsia="Times New Roman" w:hAnsi="Times New Roman" w:cs="Times New Roman"/>
          <w:spacing w:val="1"/>
        </w:rPr>
        <w:t>O</w:t>
      </w:r>
      <w:r w:rsidRPr="008B580E">
        <w:rPr>
          <w:rFonts w:ascii="Times New Roman" w:eastAsia="Times New Roman" w:hAnsi="Times New Roman" w:cs="Times New Roman"/>
        </w:rPr>
        <w:t>RO</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spacing w:val="-2"/>
        </w:rPr>
        <w:t>ca</w:t>
      </w:r>
      <w:r w:rsidRPr="008B580E">
        <w:rPr>
          <w:rFonts w:ascii="Times New Roman" w:eastAsia="Times New Roman" w:hAnsi="Times New Roman" w:cs="Times New Roman"/>
        </w:rPr>
        <w:t>n be</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spacing w:val="3"/>
        </w:rPr>
        <w:t>l</w:t>
      </w:r>
      <w:r w:rsidRPr="008B580E">
        <w:rPr>
          <w:rFonts w:ascii="Times New Roman" w:eastAsia="Times New Roman" w:hAnsi="Times New Roman" w:cs="Times New Roman"/>
          <w:spacing w:val="-2"/>
        </w:rPr>
        <w:t>i</w:t>
      </w:r>
      <w:r w:rsidRPr="008B580E">
        <w:rPr>
          <w:rFonts w:ascii="Times New Roman" w:eastAsia="Times New Roman" w:hAnsi="Times New Roman" w:cs="Times New Roman"/>
        </w:rPr>
        <w:t>fe-</w:t>
      </w:r>
      <w:r w:rsidRPr="008B580E">
        <w:rPr>
          <w:rFonts w:ascii="Times New Roman" w:eastAsia="Times New Roman" w:hAnsi="Times New Roman" w:cs="Times New Roman"/>
          <w:spacing w:val="1"/>
        </w:rPr>
        <w:t>s</w:t>
      </w:r>
      <w:r w:rsidRPr="008B580E">
        <w:rPr>
          <w:rFonts w:ascii="Times New Roman" w:eastAsia="Times New Roman" w:hAnsi="Times New Roman" w:cs="Times New Roman"/>
          <w:spacing w:val="-2"/>
        </w:rPr>
        <w:t>a</w:t>
      </w:r>
      <w:r w:rsidRPr="008B580E">
        <w:rPr>
          <w:rFonts w:ascii="Times New Roman" w:eastAsia="Times New Roman" w:hAnsi="Times New Roman" w:cs="Times New Roman"/>
        </w:rPr>
        <w:t>v</w:t>
      </w:r>
      <w:r w:rsidRPr="008B580E">
        <w:rPr>
          <w:rFonts w:ascii="Times New Roman" w:eastAsia="Times New Roman" w:hAnsi="Times New Roman" w:cs="Times New Roman"/>
          <w:spacing w:val="-2"/>
        </w:rPr>
        <w:t>i</w:t>
      </w:r>
      <w:r w:rsidRPr="008B580E">
        <w:rPr>
          <w:rFonts w:ascii="Times New Roman" w:eastAsia="Times New Roman" w:hAnsi="Times New Roman" w:cs="Times New Roman"/>
        </w:rPr>
        <w:t>n</w:t>
      </w:r>
      <w:r w:rsidRPr="008B580E">
        <w:rPr>
          <w:rFonts w:ascii="Times New Roman" w:eastAsia="Times New Roman" w:hAnsi="Times New Roman" w:cs="Times New Roman"/>
          <w:spacing w:val="1"/>
        </w:rPr>
        <w:t>g</w:t>
      </w:r>
      <w:r w:rsidRPr="008B580E">
        <w:rPr>
          <w:rFonts w:ascii="Times New Roman" w:eastAsia="Times New Roman" w:hAnsi="Times New Roman" w:cs="Times New Roman"/>
        </w:rPr>
        <w:t xml:space="preserve">. </w:t>
      </w:r>
      <w:r w:rsidRPr="008B580E">
        <w:rPr>
          <w:rFonts w:ascii="Times New Roman" w:eastAsia="Times New Roman" w:hAnsi="Times New Roman" w:cs="Times New Roman"/>
          <w:spacing w:val="-2"/>
        </w:rPr>
        <w:t>Eme</w:t>
      </w:r>
      <w:r w:rsidRPr="008B580E">
        <w:rPr>
          <w:rFonts w:ascii="Times New Roman" w:eastAsia="Times New Roman" w:hAnsi="Times New Roman" w:cs="Times New Roman"/>
        </w:rPr>
        <w:t>rg</w:t>
      </w:r>
      <w:r w:rsidRPr="008B580E">
        <w:rPr>
          <w:rFonts w:ascii="Times New Roman" w:eastAsia="Times New Roman" w:hAnsi="Times New Roman" w:cs="Times New Roman"/>
          <w:spacing w:val="-1"/>
        </w:rPr>
        <w:t>e</w:t>
      </w:r>
      <w:r w:rsidRPr="008B580E">
        <w:rPr>
          <w:rFonts w:ascii="Times New Roman" w:eastAsia="Times New Roman" w:hAnsi="Times New Roman" w:cs="Times New Roman"/>
          <w:spacing w:val="5"/>
        </w:rPr>
        <w:t>n</w:t>
      </w:r>
      <w:r w:rsidRPr="008B580E">
        <w:rPr>
          <w:rFonts w:ascii="Times New Roman" w:eastAsia="Times New Roman" w:hAnsi="Times New Roman" w:cs="Times New Roman"/>
          <w:spacing w:val="-2"/>
        </w:rPr>
        <w:t>c</w:t>
      </w:r>
      <w:r w:rsidRPr="008B580E">
        <w:rPr>
          <w:rFonts w:ascii="Times New Roman" w:eastAsia="Times New Roman" w:hAnsi="Times New Roman" w:cs="Times New Roman"/>
        </w:rPr>
        <w:t>y d</w:t>
      </w:r>
      <w:r w:rsidRPr="008B580E">
        <w:rPr>
          <w:rFonts w:ascii="Times New Roman" w:eastAsia="Times New Roman" w:hAnsi="Times New Roman" w:cs="Times New Roman"/>
          <w:spacing w:val="-2"/>
        </w:rPr>
        <w:t>e</w:t>
      </w:r>
      <w:r w:rsidRPr="008B580E">
        <w:rPr>
          <w:rFonts w:ascii="Times New Roman" w:eastAsia="Times New Roman" w:hAnsi="Times New Roman" w:cs="Times New Roman"/>
        </w:rPr>
        <w:t>p</w:t>
      </w:r>
      <w:r w:rsidRPr="008B580E">
        <w:rPr>
          <w:rFonts w:ascii="Times New Roman" w:eastAsia="Times New Roman" w:hAnsi="Times New Roman" w:cs="Times New Roman"/>
          <w:spacing w:val="-2"/>
        </w:rPr>
        <w:t>a</w:t>
      </w:r>
      <w:r w:rsidRPr="008B580E">
        <w:rPr>
          <w:rFonts w:ascii="Times New Roman" w:eastAsia="Times New Roman" w:hAnsi="Times New Roman" w:cs="Times New Roman"/>
        </w:rPr>
        <w:t>r</w:t>
      </w:r>
      <w:r w:rsidRPr="008B580E">
        <w:rPr>
          <w:rFonts w:ascii="Times New Roman" w:eastAsia="Times New Roman" w:hAnsi="Times New Roman" w:cs="Times New Roman"/>
          <w:spacing w:val="3"/>
        </w:rPr>
        <w:t>t</w:t>
      </w:r>
      <w:r w:rsidRPr="008B580E">
        <w:rPr>
          <w:rFonts w:ascii="Times New Roman" w:eastAsia="Times New Roman" w:hAnsi="Times New Roman" w:cs="Times New Roman"/>
          <w:spacing w:val="-2"/>
        </w:rPr>
        <w:t>me</w:t>
      </w:r>
      <w:r w:rsidRPr="008B580E">
        <w:rPr>
          <w:rFonts w:ascii="Times New Roman" w:eastAsia="Times New Roman" w:hAnsi="Times New Roman" w:cs="Times New Roman"/>
        </w:rPr>
        <w:t>n</w:t>
      </w:r>
      <w:r w:rsidRPr="008B580E">
        <w:rPr>
          <w:rFonts w:ascii="Times New Roman" w:eastAsia="Times New Roman" w:hAnsi="Times New Roman" w:cs="Times New Roman"/>
          <w:spacing w:val="-2"/>
        </w:rPr>
        <w:t>t</w:t>
      </w:r>
      <w:r w:rsidRPr="008B580E">
        <w:rPr>
          <w:rFonts w:ascii="Times New Roman" w:eastAsia="Times New Roman" w:hAnsi="Times New Roman" w:cs="Times New Roman"/>
        </w:rPr>
        <w:t>s</w:t>
      </w:r>
      <w:r w:rsidRPr="008B580E">
        <w:rPr>
          <w:rFonts w:ascii="Times New Roman" w:eastAsia="Times New Roman" w:hAnsi="Times New Roman" w:cs="Times New Roman"/>
          <w:spacing w:val="4"/>
        </w:rPr>
        <w:t xml:space="preserve"> </w:t>
      </w:r>
      <w:r w:rsidRPr="008B580E">
        <w:rPr>
          <w:rFonts w:ascii="Times New Roman" w:eastAsia="Times New Roman" w:hAnsi="Times New Roman" w:cs="Times New Roman"/>
        </w:rPr>
        <w:t>(</w:t>
      </w:r>
      <w:r w:rsidRPr="008B580E">
        <w:rPr>
          <w:rFonts w:ascii="Times New Roman" w:eastAsia="Times New Roman" w:hAnsi="Times New Roman" w:cs="Times New Roman"/>
          <w:spacing w:val="-2"/>
        </w:rPr>
        <w:t>E</w:t>
      </w:r>
      <w:r w:rsidRPr="008B580E">
        <w:rPr>
          <w:rFonts w:ascii="Times New Roman" w:eastAsia="Times New Roman" w:hAnsi="Times New Roman" w:cs="Times New Roman"/>
          <w:spacing w:val="1"/>
        </w:rPr>
        <w:t>D</w:t>
      </w:r>
      <w:r w:rsidRPr="008B580E">
        <w:rPr>
          <w:rFonts w:ascii="Times New Roman" w:eastAsia="Times New Roman" w:hAnsi="Times New Roman" w:cs="Times New Roman"/>
        </w:rPr>
        <w:t>)</w:t>
      </w:r>
      <w:r w:rsidRPr="008B580E">
        <w:rPr>
          <w:rFonts w:ascii="Times New Roman" w:eastAsia="Times New Roman" w:hAnsi="Times New Roman" w:cs="Times New Roman"/>
          <w:spacing w:val="1"/>
        </w:rPr>
        <w:t xml:space="preserve"> </w:t>
      </w:r>
      <w:r w:rsidRPr="008B580E">
        <w:rPr>
          <w:rFonts w:ascii="Times New Roman" w:eastAsia="Times New Roman" w:hAnsi="Times New Roman" w:cs="Times New Roman"/>
        </w:rPr>
        <w:t>prov</w:t>
      </w:r>
      <w:r w:rsidRPr="008B580E">
        <w:rPr>
          <w:rFonts w:ascii="Times New Roman" w:eastAsia="Times New Roman" w:hAnsi="Times New Roman" w:cs="Times New Roman"/>
          <w:spacing w:val="-2"/>
        </w:rPr>
        <w:t>i</w:t>
      </w:r>
      <w:r w:rsidRPr="008B580E">
        <w:rPr>
          <w:rFonts w:ascii="Times New Roman" w:eastAsia="Times New Roman" w:hAnsi="Times New Roman" w:cs="Times New Roman"/>
          <w:spacing w:val="5"/>
        </w:rPr>
        <w:t>d</w:t>
      </w:r>
      <w:r w:rsidRPr="008B580E">
        <w:rPr>
          <w:rFonts w:ascii="Times New Roman" w:eastAsia="Times New Roman" w:hAnsi="Times New Roman" w:cs="Times New Roman"/>
        </w:rPr>
        <w:t>e</w:t>
      </w:r>
      <w:r w:rsidRPr="008B580E">
        <w:rPr>
          <w:rFonts w:ascii="Times New Roman" w:eastAsia="Times New Roman" w:hAnsi="Times New Roman" w:cs="Times New Roman"/>
          <w:spacing w:val="-2"/>
        </w:rPr>
        <w:t xml:space="preserve"> a</w:t>
      </w:r>
      <w:r w:rsidRPr="008B580E">
        <w:rPr>
          <w:rFonts w:ascii="Times New Roman" w:eastAsia="Times New Roman" w:hAnsi="Times New Roman" w:cs="Times New Roman"/>
          <w:spacing w:val="3"/>
        </w:rPr>
        <w:t>c</w:t>
      </w:r>
      <w:r w:rsidRPr="008B580E">
        <w:rPr>
          <w:rFonts w:ascii="Times New Roman" w:eastAsia="Times New Roman" w:hAnsi="Times New Roman" w:cs="Times New Roman"/>
          <w:spacing w:val="-2"/>
        </w:rPr>
        <w:t>ce</w:t>
      </w:r>
      <w:r w:rsidRPr="008B580E">
        <w:rPr>
          <w:rFonts w:ascii="Times New Roman" w:eastAsia="Times New Roman" w:hAnsi="Times New Roman" w:cs="Times New Roman"/>
          <w:spacing w:val="1"/>
        </w:rPr>
        <w:t>s</w:t>
      </w:r>
      <w:r w:rsidRPr="008B580E">
        <w:rPr>
          <w:rFonts w:ascii="Times New Roman" w:eastAsia="Times New Roman" w:hAnsi="Times New Roman" w:cs="Times New Roman"/>
        </w:rPr>
        <w:t>s</w:t>
      </w:r>
      <w:r w:rsidRPr="008B580E">
        <w:rPr>
          <w:rFonts w:ascii="Times New Roman" w:eastAsia="Times New Roman" w:hAnsi="Times New Roman" w:cs="Times New Roman"/>
          <w:spacing w:val="1"/>
        </w:rPr>
        <w:t xml:space="preserve"> </w:t>
      </w:r>
      <w:r w:rsidRPr="008B580E">
        <w:rPr>
          <w:rFonts w:ascii="Times New Roman" w:eastAsia="Times New Roman" w:hAnsi="Times New Roman" w:cs="Times New Roman"/>
        </w:rPr>
        <w:t>for p</w:t>
      </w:r>
      <w:r w:rsidRPr="008B580E">
        <w:rPr>
          <w:rFonts w:ascii="Times New Roman" w:eastAsia="Times New Roman" w:hAnsi="Times New Roman" w:cs="Times New Roman"/>
          <w:spacing w:val="-1"/>
        </w:rPr>
        <w:t>a</w:t>
      </w:r>
      <w:r w:rsidRPr="008B580E">
        <w:rPr>
          <w:rFonts w:ascii="Times New Roman" w:eastAsia="Times New Roman" w:hAnsi="Times New Roman" w:cs="Times New Roman"/>
          <w:spacing w:val="-2"/>
        </w:rPr>
        <w:t>t</w:t>
      </w:r>
      <w:r w:rsidRPr="008B580E">
        <w:rPr>
          <w:rFonts w:ascii="Times New Roman" w:eastAsia="Times New Roman" w:hAnsi="Times New Roman" w:cs="Times New Roman"/>
          <w:spacing w:val="3"/>
        </w:rPr>
        <w:t>i</w:t>
      </w:r>
      <w:r w:rsidRPr="008B580E">
        <w:rPr>
          <w:rFonts w:ascii="Times New Roman" w:eastAsia="Times New Roman" w:hAnsi="Times New Roman" w:cs="Times New Roman"/>
          <w:spacing w:val="-2"/>
        </w:rPr>
        <w:t>e</w:t>
      </w:r>
      <w:r w:rsidRPr="008B580E">
        <w:rPr>
          <w:rFonts w:ascii="Times New Roman" w:eastAsia="Times New Roman" w:hAnsi="Times New Roman" w:cs="Times New Roman"/>
        </w:rPr>
        <w:t>n</w:t>
      </w:r>
      <w:r w:rsidRPr="008B580E">
        <w:rPr>
          <w:rFonts w:ascii="Times New Roman" w:eastAsia="Times New Roman" w:hAnsi="Times New Roman" w:cs="Times New Roman"/>
          <w:spacing w:val="-2"/>
        </w:rPr>
        <w:t>t</w:t>
      </w:r>
      <w:r w:rsidRPr="008B580E">
        <w:rPr>
          <w:rFonts w:ascii="Times New Roman" w:eastAsia="Times New Roman" w:hAnsi="Times New Roman" w:cs="Times New Roman"/>
        </w:rPr>
        <w:t>s</w:t>
      </w:r>
      <w:r w:rsidRPr="008B580E">
        <w:rPr>
          <w:rFonts w:ascii="Times New Roman" w:eastAsia="Times New Roman" w:hAnsi="Times New Roman" w:cs="Times New Roman"/>
          <w:spacing w:val="1"/>
        </w:rPr>
        <w:t xml:space="preserve"> </w:t>
      </w:r>
      <w:r w:rsidRPr="008B580E">
        <w:rPr>
          <w:rFonts w:ascii="Times New Roman" w:eastAsia="Times New Roman" w:hAnsi="Times New Roman" w:cs="Times New Roman"/>
          <w:spacing w:val="-2"/>
        </w:rPr>
        <w:t>a</w:t>
      </w:r>
      <w:r w:rsidRPr="008B580E">
        <w:rPr>
          <w:rFonts w:ascii="Times New Roman" w:eastAsia="Times New Roman" w:hAnsi="Times New Roman" w:cs="Times New Roman"/>
        </w:rPr>
        <w:t>t</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rPr>
        <w:t>h</w:t>
      </w:r>
      <w:r w:rsidRPr="008B580E">
        <w:rPr>
          <w:rFonts w:ascii="Times New Roman" w:eastAsia="Times New Roman" w:hAnsi="Times New Roman" w:cs="Times New Roman"/>
          <w:spacing w:val="-2"/>
        </w:rPr>
        <w:t>i</w:t>
      </w:r>
      <w:r w:rsidRPr="008B580E">
        <w:rPr>
          <w:rFonts w:ascii="Times New Roman" w:eastAsia="Times New Roman" w:hAnsi="Times New Roman" w:cs="Times New Roman"/>
        </w:rPr>
        <w:t xml:space="preserve">gh </w:t>
      </w:r>
      <w:r w:rsidRPr="008B580E">
        <w:rPr>
          <w:rFonts w:ascii="Times New Roman" w:eastAsia="Times New Roman" w:hAnsi="Times New Roman" w:cs="Times New Roman"/>
          <w:spacing w:val="5"/>
        </w:rPr>
        <w:t>r</w:t>
      </w:r>
      <w:r w:rsidRPr="008B580E">
        <w:rPr>
          <w:rFonts w:ascii="Times New Roman" w:eastAsia="Times New Roman" w:hAnsi="Times New Roman" w:cs="Times New Roman"/>
          <w:spacing w:val="-2"/>
        </w:rPr>
        <w:t>i</w:t>
      </w:r>
      <w:r w:rsidRPr="008B580E">
        <w:rPr>
          <w:rFonts w:ascii="Times New Roman" w:eastAsia="Times New Roman" w:hAnsi="Times New Roman" w:cs="Times New Roman"/>
          <w:spacing w:val="1"/>
        </w:rPr>
        <w:t>s</w:t>
      </w:r>
      <w:r w:rsidRPr="008B580E">
        <w:rPr>
          <w:rFonts w:ascii="Times New Roman" w:eastAsia="Times New Roman" w:hAnsi="Times New Roman" w:cs="Times New Roman"/>
        </w:rPr>
        <w:t>k of</w:t>
      </w:r>
      <w:r w:rsidRPr="008B580E">
        <w:rPr>
          <w:rFonts w:ascii="Times New Roman" w:eastAsia="Times New Roman" w:hAnsi="Times New Roman" w:cs="Times New Roman"/>
          <w:spacing w:val="4"/>
        </w:rPr>
        <w:t xml:space="preserve"> </w:t>
      </w:r>
      <w:r w:rsidRPr="008B580E">
        <w:rPr>
          <w:rFonts w:ascii="Times New Roman" w:eastAsia="Times New Roman" w:hAnsi="Times New Roman" w:cs="Times New Roman"/>
          <w:spacing w:val="1"/>
        </w:rPr>
        <w:t>O</w:t>
      </w:r>
      <w:r w:rsidRPr="008B580E">
        <w:rPr>
          <w:rFonts w:ascii="Times New Roman" w:eastAsia="Times New Roman" w:hAnsi="Times New Roman" w:cs="Times New Roman"/>
        </w:rPr>
        <w:t>RO</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spacing w:val="-2"/>
        </w:rPr>
        <w:t>a</w:t>
      </w:r>
      <w:r w:rsidRPr="008B580E">
        <w:rPr>
          <w:rFonts w:ascii="Times New Roman" w:eastAsia="Times New Roman" w:hAnsi="Times New Roman" w:cs="Times New Roman"/>
        </w:rPr>
        <w:t xml:space="preserve">nd </w:t>
      </w:r>
      <w:r w:rsidRPr="008B580E">
        <w:rPr>
          <w:rFonts w:ascii="Times New Roman" w:eastAsia="Times New Roman" w:hAnsi="Times New Roman" w:cs="Times New Roman"/>
          <w:spacing w:val="-2"/>
        </w:rPr>
        <w:t>a</w:t>
      </w:r>
      <w:r w:rsidRPr="008B580E">
        <w:rPr>
          <w:rFonts w:ascii="Times New Roman" w:eastAsia="Times New Roman" w:hAnsi="Times New Roman" w:cs="Times New Roman"/>
        </w:rPr>
        <w:t>re</w:t>
      </w:r>
      <w:r w:rsidRPr="008B580E">
        <w:rPr>
          <w:rFonts w:ascii="Times New Roman" w:eastAsia="Times New Roman" w:hAnsi="Times New Roman" w:cs="Times New Roman"/>
          <w:spacing w:val="-1"/>
        </w:rPr>
        <w:t xml:space="preserve"> </w:t>
      </w:r>
      <w:r w:rsidRPr="008B580E">
        <w:rPr>
          <w:rFonts w:ascii="Times New Roman" w:eastAsia="Times New Roman" w:hAnsi="Times New Roman" w:cs="Times New Roman"/>
          <w:spacing w:val="-2"/>
        </w:rPr>
        <w:t>i</w:t>
      </w:r>
      <w:r w:rsidRPr="008B580E">
        <w:rPr>
          <w:rFonts w:ascii="Times New Roman" w:eastAsia="Times New Roman" w:hAnsi="Times New Roman" w:cs="Times New Roman"/>
        </w:rPr>
        <w:t>d</w:t>
      </w:r>
      <w:r w:rsidRPr="008B580E">
        <w:rPr>
          <w:rFonts w:ascii="Times New Roman" w:eastAsia="Times New Roman" w:hAnsi="Times New Roman" w:cs="Times New Roman"/>
          <w:spacing w:val="-2"/>
        </w:rPr>
        <w:t>e</w:t>
      </w:r>
      <w:r w:rsidRPr="008B580E">
        <w:rPr>
          <w:rFonts w:ascii="Times New Roman" w:eastAsia="Times New Roman" w:hAnsi="Times New Roman" w:cs="Times New Roman"/>
          <w:spacing w:val="3"/>
        </w:rPr>
        <w:t>a</w:t>
      </w:r>
      <w:r w:rsidRPr="008B580E">
        <w:rPr>
          <w:rFonts w:ascii="Times New Roman" w:eastAsia="Times New Roman" w:hAnsi="Times New Roman" w:cs="Times New Roman"/>
        </w:rPr>
        <w:t xml:space="preserve">l </w:t>
      </w:r>
      <w:r w:rsidRPr="008B580E">
        <w:rPr>
          <w:rFonts w:ascii="Times New Roman" w:eastAsia="Times New Roman" w:hAnsi="Times New Roman" w:cs="Times New Roman"/>
          <w:spacing w:val="2"/>
        </w:rPr>
        <w:t>s</w:t>
      </w:r>
      <w:r w:rsidRPr="008B580E">
        <w:rPr>
          <w:rFonts w:ascii="Times New Roman" w:eastAsia="Times New Roman" w:hAnsi="Times New Roman" w:cs="Times New Roman"/>
          <w:spacing w:val="-2"/>
        </w:rPr>
        <w:t>etti</w:t>
      </w:r>
      <w:r w:rsidRPr="008B580E">
        <w:rPr>
          <w:rFonts w:ascii="Times New Roman" w:eastAsia="Times New Roman" w:hAnsi="Times New Roman" w:cs="Times New Roman"/>
        </w:rPr>
        <w:t>ngs</w:t>
      </w:r>
      <w:r w:rsidRPr="008B580E">
        <w:rPr>
          <w:rFonts w:ascii="Times New Roman" w:eastAsia="Times New Roman" w:hAnsi="Times New Roman" w:cs="Times New Roman"/>
          <w:spacing w:val="1"/>
        </w:rPr>
        <w:t xml:space="preserve"> </w:t>
      </w:r>
      <w:r w:rsidRPr="008B580E">
        <w:rPr>
          <w:rFonts w:ascii="Times New Roman" w:eastAsia="Times New Roman" w:hAnsi="Times New Roman" w:cs="Times New Roman"/>
          <w:spacing w:val="-2"/>
        </w:rPr>
        <w:t>t</w:t>
      </w:r>
      <w:r w:rsidRPr="008B580E">
        <w:rPr>
          <w:rFonts w:ascii="Times New Roman" w:eastAsia="Times New Roman" w:hAnsi="Times New Roman" w:cs="Times New Roman"/>
        </w:rPr>
        <w:t>o prov</w:t>
      </w:r>
      <w:r w:rsidRPr="008B580E">
        <w:rPr>
          <w:rFonts w:ascii="Times New Roman" w:eastAsia="Times New Roman" w:hAnsi="Times New Roman" w:cs="Times New Roman"/>
          <w:spacing w:val="-2"/>
        </w:rPr>
        <w:t>i</w:t>
      </w:r>
      <w:r w:rsidRPr="008B580E">
        <w:rPr>
          <w:rFonts w:ascii="Times New Roman" w:eastAsia="Times New Roman" w:hAnsi="Times New Roman" w:cs="Times New Roman"/>
          <w:spacing w:val="5"/>
        </w:rPr>
        <w:t>d</w:t>
      </w:r>
      <w:r w:rsidRPr="008B580E">
        <w:rPr>
          <w:rFonts w:ascii="Times New Roman" w:eastAsia="Times New Roman" w:hAnsi="Times New Roman" w:cs="Times New Roman"/>
        </w:rPr>
        <w:t>e</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rPr>
        <w:t>n</w:t>
      </w:r>
      <w:r w:rsidRPr="008B580E">
        <w:rPr>
          <w:rFonts w:ascii="Times New Roman" w:eastAsia="Times New Roman" w:hAnsi="Times New Roman" w:cs="Times New Roman"/>
          <w:spacing w:val="-2"/>
        </w:rPr>
        <w:t>al</w:t>
      </w:r>
      <w:r w:rsidRPr="008B580E">
        <w:rPr>
          <w:rFonts w:ascii="Times New Roman" w:eastAsia="Times New Roman" w:hAnsi="Times New Roman" w:cs="Times New Roman"/>
        </w:rPr>
        <w:t>oxo</w:t>
      </w:r>
      <w:r w:rsidRPr="008B580E">
        <w:rPr>
          <w:rFonts w:ascii="Times New Roman" w:eastAsia="Times New Roman" w:hAnsi="Times New Roman" w:cs="Times New Roman"/>
          <w:spacing w:val="5"/>
        </w:rPr>
        <w:t>n</w:t>
      </w:r>
      <w:r w:rsidRPr="008B580E">
        <w:rPr>
          <w:rFonts w:ascii="Times New Roman" w:eastAsia="Times New Roman" w:hAnsi="Times New Roman" w:cs="Times New Roman"/>
        </w:rPr>
        <w:t>e-k</w:t>
      </w:r>
      <w:r w:rsidRPr="008B580E">
        <w:rPr>
          <w:rFonts w:ascii="Times New Roman" w:eastAsia="Times New Roman" w:hAnsi="Times New Roman" w:cs="Times New Roman"/>
          <w:spacing w:val="-2"/>
        </w:rPr>
        <w:t>it</w:t>
      </w:r>
      <w:r w:rsidRPr="008B580E">
        <w:rPr>
          <w:rFonts w:ascii="Times New Roman" w:eastAsia="Times New Roman" w:hAnsi="Times New Roman" w:cs="Times New Roman"/>
        </w:rPr>
        <w:t>s</w:t>
      </w:r>
      <w:r w:rsidRPr="008B580E">
        <w:rPr>
          <w:rFonts w:ascii="Times New Roman" w:eastAsia="Times New Roman" w:hAnsi="Times New Roman" w:cs="Times New Roman"/>
          <w:spacing w:val="1"/>
        </w:rPr>
        <w:t xml:space="preserve"> </w:t>
      </w:r>
      <w:r w:rsidRPr="008B580E">
        <w:rPr>
          <w:rFonts w:ascii="Times New Roman" w:eastAsia="Times New Roman" w:hAnsi="Times New Roman" w:cs="Times New Roman"/>
          <w:spacing w:val="-2"/>
        </w:rPr>
        <w:t>t</w:t>
      </w:r>
      <w:r w:rsidRPr="008B580E">
        <w:rPr>
          <w:rFonts w:ascii="Times New Roman" w:eastAsia="Times New Roman" w:hAnsi="Times New Roman" w:cs="Times New Roman"/>
        </w:rPr>
        <w:t xml:space="preserve">o </w:t>
      </w:r>
      <w:r w:rsidRPr="008B580E">
        <w:rPr>
          <w:rFonts w:ascii="Times New Roman" w:eastAsia="Times New Roman" w:hAnsi="Times New Roman" w:cs="Times New Roman"/>
          <w:spacing w:val="5"/>
        </w:rPr>
        <w:t>r</w:t>
      </w:r>
      <w:r w:rsidRPr="008B580E">
        <w:rPr>
          <w:rFonts w:ascii="Times New Roman" w:eastAsia="Times New Roman" w:hAnsi="Times New Roman" w:cs="Times New Roman"/>
          <w:spacing w:val="-2"/>
        </w:rPr>
        <w:t>e</w:t>
      </w:r>
      <w:r w:rsidRPr="008B580E">
        <w:rPr>
          <w:rFonts w:ascii="Times New Roman" w:eastAsia="Times New Roman" w:hAnsi="Times New Roman" w:cs="Times New Roman"/>
        </w:rPr>
        <w:t>du</w:t>
      </w:r>
      <w:r w:rsidRPr="008B580E">
        <w:rPr>
          <w:rFonts w:ascii="Times New Roman" w:eastAsia="Times New Roman" w:hAnsi="Times New Roman" w:cs="Times New Roman"/>
          <w:spacing w:val="-2"/>
        </w:rPr>
        <w:t>c</w:t>
      </w:r>
      <w:r w:rsidRPr="008B580E">
        <w:rPr>
          <w:rFonts w:ascii="Times New Roman" w:eastAsia="Times New Roman" w:hAnsi="Times New Roman" w:cs="Times New Roman"/>
        </w:rPr>
        <w:t>e</w:t>
      </w:r>
      <w:r w:rsidRPr="008B580E">
        <w:rPr>
          <w:rFonts w:ascii="Times New Roman" w:eastAsia="Times New Roman" w:hAnsi="Times New Roman" w:cs="Times New Roman"/>
          <w:spacing w:val="-2"/>
        </w:rPr>
        <w:t xml:space="preserve"> m</w:t>
      </w:r>
      <w:r w:rsidRPr="008B580E">
        <w:rPr>
          <w:rFonts w:ascii="Times New Roman" w:eastAsia="Times New Roman" w:hAnsi="Times New Roman" w:cs="Times New Roman"/>
        </w:rPr>
        <w:t>or</w:t>
      </w:r>
      <w:r w:rsidRPr="008B580E">
        <w:rPr>
          <w:rFonts w:ascii="Times New Roman" w:eastAsia="Times New Roman" w:hAnsi="Times New Roman" w:cs="Times New Roman"/>
          <w:spacing w:val="5"/>
        </w:rPr>
        <w:t>b</w:t>
      </w:r>
      <w:r w:rsidRPr="008B580E">
        <w:rPr>
          <w:rFonts w:ascii="Times New Roman" w:eastAsia="Times New Roman" w:hAnsi="Times New Roman" w:cs="Times New Roman"/>
          <w:spacing w:val="-2"/>
        </w:rPr>
        <w:t>i</w:t>
      </w:r>
      <w:r w:rsidRPr="008B580E">
        <w:rPr>
          <w:rFonts w:ascii="Times New Roman" w:eastAsia="Times New Roman" w:hAnsi="Times New Roman" w:cs="Times New Roman"/>
        </w:rPr>
        <w:t>d</w:t>
      </w:r>
      <w:r w:rsidRPr="008B580E">
        <w:rPr>
          <w:rFonts w:ascii="Times New Roman" w:eastAsia="Times New Roman" w:hAnsi="Times New Roman" w:cs="Times New Roman"/>
          <w:spacing w:val="-2"/>
        </w:rPr>
        <w:t>it</w:t>
      </w:r>
      <w:r w:rsidRPr="008B580E">
        <w:rPr>
          <w:rFonts w:ascii="Times New Roman" w:eastAsia="Times New Roman" w:hAnsi="Times New Roman" w:cs="Times New Roman"/>
        </w:rPr>
        <w:t>y</w:t>
      </w:r>
      <w:r w:rsidRPr="008B580E">
        <w:rPr>
          <w:rFonts w:ascii="Times New Roman" w:eastAsia="Times New Roman" w:hAnsi="Times New Roman" w:cs="Times New Roman"/>
          <w:spacing w:val="5"/>
        </w:rPr>
        <w:t xml:space="preserve"> </w:t>
      </w:r>
      <w:r w:rsidRPr="008B580E">
        <w:rPr>
          <w:rFonts w:ascii="Times New Roman" w:eastAsia="Times New Roman" w:hAnsi="Times New Roman" w:cs="Times New Roman"/>
          <w:spacing w:val="-2"/>
        </w:rPr>
        <w:t>a</w:t>
      </w:r>
      <w:r w:rsidRPr="008B580E">
        <w:rPr>
          <w:rFonts w:ascii="Times New Roman" w:eastAsia="Times New Roman" w:hAnsi="Times New Roman" w:cs="Times New Roman"/>
        </w:rPr>
        <w:t xml:space="preserve">nd </w:t>
      </w:r>
      <w:r w:rsidRPr="008B580E">
        <w:rPr>
          <w:rFonts w:ascii="Times New Roman" w:eastAsia="Times New Roman" w:hAnsi="Times New Roman" w:cs="Times New Roman"/>
          <w:spacing w:val="-2"/>
        </w:rPr>
        <w:t>m</w:t>
      </w:r>
      <w:r w:rsidRPr="008B580E">
        <w:rPr>
          <w:rFonts w:ascii="Times New Roman" w:eastAsia="Times New Roman" w:hAnsi="Times New Roman" w:cs="Times New Roman"/>
        </w:rPr>
        <w:t>or</w:t>
      </w:r>
      <w:r w:rsidRPr="008B580E">
        <w:rPr>
          <w:rFonts w:ascii="Times New Roman" w:eastAsia="Times New Roman" w:hAnsi="Times New Roman" w:cs="Times New Roman"/>
          <w:spacing w:val="-2"/>
        </w:rPr>
        <w:t>t</w:t>
      </w:r>
      <w:r w:rsidRPr="008B580E">
        <w:rPr>
          <w:rFonts w:ascii="Times New Roman" w:eastAsia="Times New Roman" w:hAnsi="Times New Roman" w:cs="Times New Roman"/>
          <w:spacing w:val="3"/>
        </w:rPr>
        <w:t>a</w:t>
      </w:r>
      <w:r w:rsidRPr="008B580E">
        <w:rPr>
          <w:rFonts w:ascii="Times New Roman" w:eastAsia="Times New Roman" w:hAnsi="Times New Roman" w:cs="Times New Roman"/>
          <w:spacing w:val="-2"/>
        </w:rPr>
        <w:t>lit</w:t>
      </w:r>
      <w:r w:rsidRPr="008B580E">
        <w:rPr>
          <w:rFonts w:ascii="Times New Roman" w:eastAsia="Times New Roman" w:hAnsi="Times New Roman" w:cs="Times New Roman"/>
        </w:rPr>
        <w:t>y</w:t>
      </w:r>
      <w:r w:rsidRPr="008B580E">
        <w:rPr>
          <w:rFonts w:ascii="Times New Roman" w:eastAsia="Times New Roman" w:hAnsi="Times New Roman" w:cs="Times New Roman"/>
          <w:spacing w:val="5"/>
        </w:rPr>
        <w:t xml:space="preserve"> </w:t>
      </w:r>
      <w:r w:rsidRPr="008B580E">
        <w:rPr>
          <w:rFonts w:ascii="Times New Roman" w:eastAsia="Times New Roman" w:hAnsi="Times New Roman" w:cs="Times New Roman"/>
          <w:spacing w:val="-2"/>
        </w:rPr>
        <w:t>i</w:t>
      </w:r>
      <w:r w:rsidRPr="008B580E">
        <w:rPr>
          <w:rFonts w:ascii="Times New Roman" w:eastAsia="Times New Roman" w:hAnsi="Times New Roman" w:cs="Times New Roman"/>
        </w:rPr>
        <w:t xml:space="preserve">n </w:t>
      </w:r>
      <w:r w:rsidRPr="008B580E">
        <w:rPr>
          <w:rFonts w:ascii="Times New Roman" w:eastAsia="Times New Roman" w:hAnsi="Times New Roman" w:cs="Times New Roman"/>
          <w:spacing w:val="-2"/>
        </w:rPr>
        <w:t>t</w:t>
      </w:r>
      <w:r w:rsidRPr="008B580E">
        <w:rPr>
          <w:rFonts w:ascii="Times New Roman" w:eastAsia="Times New Roman" w:hAnsi="Times New Roman" w:cs="Times New Roman"/>
        </w:rPr>
        <w:t>h</w:t>
      </w:r>
      <w:r w:rsidRPr="008B580E">
        <w:rPr>
          <w:rFonts w:ascii="Times New Roman" w:eastAsia="Times New Roman" w:hAnsi="Times New Roman" w:cs="Times New Roman"/>
          <w:spacing w:val="-2"/>
        </w:rPr>
        <w:t>i</w:t>
      </w:r>
      <w:r w:rsidRPr="008B580E">
        <w:rPr>
          <w:rFonts w:ascii="Times New Roman" w:eastAsia="Times New Roman" w:hAnsi="Times New Roman" w:cs="Times New Roman"/>
        </w:rPr>
        <w:t>s</w:t>
      </w:r>
      <w:r w:rsidRPr="008B580E">
        <w:rPr>
          <w:rFonts w:ascii="Times New Roman" w:eastAsia="Times New Roman" w:hAnsi="Times New Roman" w:cs="Times New Roman"/>
          <w:spacing w:val="1"/>
        </w:rPr>
        <w:t xml:space="preserve"> </w:t>
      </w:r>
      <w:r w:rsidRPr="008B580E">
        <w:rPr>
          <w:rFonts w:ascii="Times New Roman" w:eastAsia="Times New Roman" w:hAnsi="Times New Roman" w:cs="Times New Roman"/>
        </w:rPr>
        <w:t>p</w:t>
      </w:r>
      <w:r w:rsidRPr="008B580E">
        <w:rPr>
          <w:rFonts w:ascii="Times New Roman" w:eastAsia="Times New Roman" w:hAnsi="Times New Roman" w:cs="Times New Roman"/>
          <w:spacing w:val="3"/>
        </w:rPr>
        <w:t>a</w:t>
      </w:r>
      <w:r w:rsidRPr="008B580E">
        <w:rPr>
          <w:rFonts w:ascii="Times New Roman" w:eastAsia="Times New Roman" w:hAnsi="Times New Roman" w:cs="Times New Roman"/>
          <w:spacing w:val="-2"/>
        </w:rPr>
        <w:t>tie</w:t>
      </w:r>
      <w:r w:rsidRPr="008B580E">
        <w:rPr>
          <w:rFonts w:ascii="Times New Roman" w:eastAsia="Times New Roman" w:hAnsi="Times New Roman" w:cs="Times New Roman"/>
          <w:spacing w:val="5"/>
        </w:rPr>
        <w:t>n</w:t>
      </w:r>
      <w:r w:rsidRPr="008B580E">
        <w:rPr>
          <w:rFonts w:ascii="Times New Roman" w:eastAsia="Times New Roman" w:hAnsi="Times New Roman" w:cs="Times New Roman"/>
        </w:rPr>
        <w:t>t</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rPr>
        <w:t>popu</w:t>
      </w:r>
      <w:r w:rsidRPr="008B580E">
        <w:rPr>
          <w:rFonts w:ascii="Times New Roman" w:eastAsia="Times New Roman" w:hAnsi="Times New Roman" w:cs="Times New Roman"/>
          <w:spacing w:val="-2"/>
        </w:rPr>
        <w:t>l</w:t>
      </w:r>
      <w:r w:rsidRPr="008B580E">
        <w:rPr>
          <w:rFonts w:ascii="Times New Roman" w:eastAsia="Times New Roman" w:hAnsi="Times New Roman" w:cs="Times New Roman"/>
          <w:spacing w:val="3"/>
        </w:rPr>
        <w:t>a</w:t>
      </w:r>
      <w:r w:rsidRPr="008B580E">
        <w:rPr>
          <w:rFonts w:ascii="Times New Roman" w:eastAsia="Times New Roman" w:hAnsi="Times New Roman" w:cs="Times New Roman"/>
          <w:spacing w:val="-2"/>
        </w:rPr>
        <w:t>ti</w:t>
      </w:r>
      <w:r w:rsidRPr="008B580E">
        <w:rPr>
          <w:rFonts w:ascii="Times New Roman" w:eastAsia="Times New Roman" w:hAnsi="Times New Roman" w:cs="Times New Roman"/>
        </w:rPr>
        <w:t>on.</w:t>
      </w:r>
    </w:p>
    <w:p w14:paraId="4C039C8B" w14:textId="77777777" w:rsidR="005B56E3" w:rsidRPr="008B580E" w:rsidRDefault="005B56E3" w:rsidP="005B56E3">
      <w:pPr>
        <w:spacing w:before="7" w:line="140" w:lineRule="exact"/>
      </w:pPr>
    </w:p>
    <w:p w14:paraId="419960B4" w14:textId="77777777" w:rsidR="005B56E3" w:rsidRPr="008B580E" w:rsidRDefault="005B56E3" w:rsidP="005B56E3">
      <w:pPr>
        <w:spacing w:line="258" w:lineRule="auto"/>
        <w:ind w:left="101" w:right="690"/>
      </w:pPr>
      <w:r w:rsidRPr="008B580E">
        <w:rPr>
          <w:rFonts w:ascii="Times New Roman" w:eastAsia="Times New Roman" w:hAnsi="Times New Roman" w:cs="Times New Roman"/>
          <w:b/>
          <w:spacing w:val="-2"/>
        </w:rPr>
        <w:t>O</w:t>
      </w:r>
      <w:r w:rsidRPr="008B580E">
        <w:rPr>
          <w:rFonts w:ascii="Times New Roman" w:eastAsia="Times New Roman" w:hAnsi="Times New Roman" w:cs="Times New Roman"/>
          <w:b/>
          <w:spacing w:val="1"/>
        </w:rPr>
        <w:t>b</w:t>
      </w:r>
      <w:r w:rsidRPr="008B580E">
        <w:rPr>
          <w:rFonts w:ascii="Times New Roman" w:eastAsia="Times New Roman" w:hAnsi="Times New Roman" w:cs="Times New Roman"/>
          <w:b/>
        </w:rPr>
        <w:t>j</w:t>
      </w:r>
      <w:r w:rsidRPr="008B580E">
        <w:rPr>
          <w:rFonts w:ascii="Times New Roman" w:eastAsia="Times New Roman" w:hAnsi="Times New Roman" w:cs="Times New Roman"/>
          <w:b/>
          <w:spacing w:val="-1"/>
        </w:rPr>
        <w:t>e</w:t>
      </w:r>
      <w:r w:rsidRPr="008B580E">
        <w:rPr>
          <w:rFonts w:ascii="Times New Roman" w:eastAsia="Times New Roman" w:hAnsi="Times New Roman" w:cs="Times New Roman"/>
          <w:b/>
          <w:spacing w:val="-2"/>
        </w:rPr>
        <w:t>c</w:t>
      </w:r>
      <w:r w:rsidRPr="008B580E">
        <w:rPr>
          <w:rFonts w:ascii="Times New Roman" w:eastAsia="Times New Roman" w:hAnsi="Times New Roman" w:cs="Times New Roman"/>
          <w:b/>
        </w:rPr>
        <w:t>t</w:t>
      </w:r>
      <w:r w:rsidRPr="008B580E">
        <w:rPr>
          <w:rFonts w:ascii="Times New Roman" w:eastAsia="Times New Roman" w:hAnsi="Times New Roman" w:cs="Times New Roman"/>
          <w:b/>
          <w:spacing w:val="-2"/>
        </w:rPr>
        <w:t>i</w:t>
      </w:r>
      <w:r w:rsidRPr="008B580E">
        <w:rPr>
          <w:rFonts w:ascii="Times New Roman" w:eastAsia="Times New Roman" w:hAnsi="Times New Roman" w:cs="Times New Roman"/>
          <w:b/>
        </w:rPr>
        <w:t>v</w:t>
      </w:r>
      <w:r w:rsidRPr="008B580E">
        <w:rPr>
          <w:rFonts w:ascii="Times New Roman" w:eastAsia="Times New Roman" w:hAnsi="Times New Roman" w:cs="Times New Roman"/>
          <w:b/>
          <w:spacing w:val="4"/>
        </w:rPr>
        <w:t>e</w:t>
      </w:r>
      <w:r w:rsidRPr="008B580E">
        <w:rPr>
          <w:rFonts w:ascii="Times New Roman" w:eastAsia="Times New Roman" w:hAnsi="Times New Roman" w:cs="Times New Roman"/>
        </w:rPr>
        <w:t>:</w:t>
      </w:r>
      <w:r w:rsidRPr="008B580E">
        <w:rPr>
          <w:rFonts w:ascii="Times New Roman" w:eastAsia="Times New Roman" w:hAnsi="Times New Roman" w:cs="Times New Roman"/>
          <w:spacing w:val="-2"/>
        </w:rPr>
        <w:t xml:space="preserve"> T</w:t>
      </w:r>
      <w:r w:rsidRPr="008B580E">
        <w:rPr>
          <w:rFonts w:ascii="Times New Roman" w:eastAsia="Times New Roman" w:hAnsi="Times New Roman" w:cs="Times New Roman"/>
        </w:rPr>
        <w:t>he</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rPr>
        <w:t>purpo</w:t>
      </w:r>
      <w:r w:rsidRPr="008B580E">
        <w:rPr>
          <w:rFonts w:ascii="Times New Roman" w:eastAsia="Times New Roman" w:hAnsi="Times New Roman" w:cs="Times New Roman"/>
          <w:spacing w:val="1"/>
        </w:rPr>
        <w:t>s</w:t>
      </w:r>
      <w:r w:rsidRPr="008B580E">
        <w:rPr>
          <w:rFonts w:ascii="Times New Roman" w:eastAsia="Times New Roman" w:hAnsi="Times New Roman" w:cs="Times New Roman"/>
        </w:rPr>
        <w:t>e</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rPr>
        <w:t>of</w:t>
      </w:r>
      <w:r w:rsidRPr="008B580E">
        <w:rPr>
          <w:rFonts w:ascii="Times New Roman" w:eastAsia="Times New Roman" w:hAnsi="Times New Roman" w:cs="Times New Roman"/>
          <w:spacing w:val="5"/>
        </w:rPr>
        <w:t xml:space="preserve"> </w:t>
      </w:r>
      <w:r w:rsidRPr="008B580E">
        <w:rPr>
          <w:rFonts w:ascii="Times New Roman" w:eastAsia="Times New Roman" w:hAnsi="Times New Roman" w:cs="Times New Roman"/>
          <w:spacing w:val="-2"/>
        </w:rPr>
        <w:t>t</w:t>
      </w:r>
      <w:r w:rsidRPr="008B580E">
        <w:rPr>
          <w:rFonts w:ascii="Times New Roman" w:eastAsia="Times New Roman" w:hAnsi="Times New Roman" w:cs="Times New Roman"/>
        </w:rPr>
        <w:t>h</w:t>
      </w:r>
      <w:r w:rsidRPr="008B580E">
        <w:rPr>
          <w:rFonts w:ascii="Times New Roman" w:eastAsia="Times New Roman" w:hAnsi="Times New Roman" w:cs="Times New Roman"/>
          <w:spacing w:val="-2"/>
        </w:rPr>
        <w:t>i</w:t>
      </w:r>
      <w:r w:rsidRPr="008B580E">
        <w:rPr>
          <w:rFonts w:ascii="Times New Roman" w:eastAsia="Times New Roman" w:hAnsi="Times New Roman" w:cs="Times New Roman"/>
        </w:rPr>
        <w:t>s</w:t>
      </w:r>
      <w:r w:rsidRPr="008B580E">
        <w:rPr>
          <w:rFonts w:ascii="Times New Roman" w:eastAsia="Times New Roman" w:hAnsi="Times New Roman" w:cs="Times New Roman"/>
          <w:spacing w:val="1"/>
        </w:rPr>
        <w:t xml:space="preserve"> s</w:t>
      </w:r>
      <w:r w:rsidRPr="008B580E">
        <w:rPr>
          <w:rFonts w:ascii="Times New Roman" w:eastAsia="Times New Roman" w:hAnsi="Times New Roman" w:cs="Times New Roman"/>
          <w:spacing w:val="-2"/>
        </w:rPr>
        <w:t>t</w:t>
      </w:r>
      <w:r w:rsidRPr="008B580E">
        <w:rPr>
          <w:rFonts w:ascii="Times New Roman" w:eastAsia="Times New Roman" w:hAnsi="Times New Roman" w:cs="Times New Roman"/>
        </w:rPr>
        <w:t>udy</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spacing w:val="1"/>
        </w:rPr>
        <w:t>w</w:t>
      </w:r>
      <w:r w:rsidRPr="008B580E">
        <w:rPr>
          <w:rFonts w:ascii="Times New Roman" w:eastAsia="Times New Roman" w:hAnsi="Times New Roman" w:cs="Times New Roman"/>
          <w:spacing w:val="-2"/>
        </w:rPr>
        <w:t>a</w:t>
      </w:r>
      <w:r w:rsidRPr="008B580E">
        <w:rPr>
          <w:rFonts w:ascii="Times New Roman" w:eastAsia="Times New Roman" w:hAnsi="Times New Roman" w:cs="Times New Roman"/>
        </w:rPr>
        <w:t>s</w:t>
      </w:r>
      <w:r w:rsidRPr="008B580E">
        <w:rPr>
          <w:rFonts w:ascii="Times New Roman" w:eastAsia="Times New Roman" w:hAnsi="Times New Roman" w:cs="Times New Roman"/>
          <w:spacing w:val="3"/>
        </w:rPr>
        <w:t xml:space="preserve"> </w:t>
      </w:r>
      <w:r w:rsidRPr="008B580E">
        <w:rPr>
          <w:rFonts w:ascii="Times New Roman" w:eastAsia="Times New Roman" w:hAnsi="Times New Roman" w:cs="Times New Roman"/>
          <w:spacing w:val="-2"/>
        </w:rPr>
        <w:t>t</w:t>
      </w:r>
      <w:r w:rsidRPr="008B580E">
        <w:rPr>
          <w:rFonts w:ascii="Times New Roman" w:eastAsia="Times New Roman" w:hAnsi="Times New Roman" w:cs="Times New Roman"/>
        </w:rPr>
        <w:t xml:space="preserve">o </w:t>
      </w:r>
      <w:r w:rsidRPr="008B580E">
        <w:rPr>
          <w:rFonts w:ascii="Times New Roman" w:eastAsia="Times New Roman" w:hAnsi="Times New Roman" w:cs="Times New Roman"/>
          <w:spacing w:val="-2"/>
        </w:rPr>
        <w:t>im</w:t>
      </w:r>
      <w:r w:rsidRPr="008B580E">
        <w:rPr>
          <w:rFonts w:ascii="Times New Roman" w:eastAsia="Times New Roman" w:hAnsi="Times New Roman" w:cs="Times New Roman"/>
          <w:spacing w:val="5"/>
        </w:rPr>
        <w:t>p</w:t>
      </w:r>
      <w:r w:rsidRPr="008B580E">
        <w:rPr>
          <w:rFonts w:ascii="Times New Roman" w:eastAsia="Times New Roman" w:hAnsi="Times New Roman" w:cs="Times New Roman"/>
          <w:spacing w:val="-2"/>
        </w:rPr>
        <w:t>le</w:t>
      </w:r>
      <w:r w:rsidRPr="008B580E">
        <w:rPr>
          <w:rFonts w:ascii="Times New Roman" w:eastAsia="Times New Roman" w:hAnsi="Times New Roman" w:cs="Times New Roman"/>
          <w:spacing w:val="3"/>
        </w:rPr>
        <w:t>m</w:t>
      </w:r>
      <w:r w:rsidRPr="008B580E">
        <w:rPr>
          <w:rFonts w:ascii="Times New Roman" w:eastAsia="Times New Roman" w:hAnsi="Times New Roman" w:cs="Times New Roman"/>
          <w:spacing w:val="-2"/>
        </w:rPr>
        <w:t>e</w:t>
      </w:r>
      <w:r w:rsidRPr="008B580E">
        <w:rPr>
          <w:rFonts w:ascii="Times New Roman" w:eastAsia="Times New Roman" w:hAnsi="Times New Roman" w:cs="Times New Roman"/>
        </w:rPr>
        <w:t>nt</w:t>
      </w:r>
      <w:r w:rsidRPr="008B580E">
        <w:rPr>
          <w:rFonts w:ascii="Times New Roman" w:eastAsia="Times New Roman" w:hAnsi="Times New Roman" w:cs="Times New Roman"/>
          <w:spacing w:val="-1"/>
        </w:rPr>
        <w:t xml:space="preserve"> </w:t>
      </w:r>
      <w:r w:rsidRPr="008B580E">
        <w:rPr>
          <w:rFonts w:ascii="Times New Roman" w:eastAsia="Times New Roman" w:hAnsi="Times New Roman" w:cs="Times New Roman"/>
        </w:rPr>
        <w:t>a</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spacing w:val="3"/>
        </w:rPr>
        <w:t>t</w:t>
      </w:r>
      <w:r w:rsidRPr="008B580E">
        <w:rPr>
          <w:rFonts w:ascii="Times New Roman" w:eastAsia="Times New Roman" w:hAnsi="Times New Roman" w:cs="Times New Roman"/>
          <w:spacing w:val="-2"/>
        </w:rPr>
        <w:t>a</w:t>
      </w:r>
      <w:r w:rsidRPr="008B580E">
        <w:rPr>
          <w:rFonts w:ascii="Times New Roman" w:eastAsia="Times New Roman" w:hAnsi="Times New Roman" w:cs="Times New Roman"/>
        </w:rPr>
        <w:t>k</w:t>
      </w:r>
      <w:r w:rsidRPr="008B580E">
        <w:rPr>
          <w:rFonts w:ascii="Times New Roman" w:eastAsia="Times New Roman" w:hAnsi="Times New Roman" w:cs="Times New Roman"/>
          <w:spacing w:val="-1"/>
        </w:rPr>
        <w:t>e</w:t>
      </w:r>
      <w:r w:rsidRPr="008B580E">
        <w:rPr>
          <w:rFonts w:ascii="Times New Roman" w:eastAsia="Times New Roman" w:hAnsi="Times New Roman" w:cs="Times New Roman"/>
        </w:rPr>
        <w:t>-ho</w:t>
      </w:r>
      <w:r w:rsidRPr="008B580E">
        <w:rPr>
          <w:rFonts w:ascii="Times New Roman" w:eastAsia="Times New Roman" w:hAnsi="Times New Roman" w:cs="Times New Roman"/>
          <w:spacing w:val="3"/>
        </w:rPr>
        <w:t>m</w:t>
      </w:r>
      <w:r w:rsidRPr="008B580E">
        <w:rPr>
          <w:rFonts w:ascii="Times New Roman" w:eastAsia="Times New Roman" w:hAnsi="Times New Roman" w:cs="Times New Roman"/>
        </w:rPr>
        <w:t>e</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rPr>
        <w:t>n</w:t>
      </w:r>
      <w:r w:rsidRPr="008B580E">
        <w:rPr>
          <w:rFonts w:ascii="Times New Roman" w:eastAsia="Times New Roman" w:hAnsi="Times New Roman" w:cs="Times New Roman"/>
          <w:spacing w:val="-2"/>
        </w:rPr>
        <w:t>al</w:t>
      </w:r>
      <w:r w:rsidRPr="008B580E">
        <w:rPr>
          <w:rFonts w:ascii="Times New Roman" w:eastAsia="Times New Roman" w:hAnsi="Times New Roman" w:cs="Times New Roman"/>
        </w:rPr>
        <w:t>oxon</w:t>
      </w:r>
      <w:r w:rsidRPr="008B580E">
        <w:rPr>
          <w:rFonts w:ascii="Times New Roman" w:eastAsia="Times New Roman" w:hAnsi="Times New Roman" w:cs="Times New Roman"/>
          <w:spacing w:val="-1"/>
        </w:rPr>
        <w:t>e</w:t>
      </w:r>
      <w:r w:rsidRPr="008B580E">
        <w:rPr>
          <w:rFonts w:ascii="Times New Roman" w:eastAsia="Times New Roman" w:hAnsi="Times New Roman" w:cs="Times New Roman"/>
          <w:spacing w:val="1"/>
        </w:rPr>
        <w:t>-</w:t>
      </w:r>
      <w:r w:rsidRPr="008B580E">
        <w:rPr>
          <w:rFonts w:ascii="Times New Roman" w:eastAsia="Times New Roman" w:hAnsi="Times New Roman" w:cs="Times New Roman"/>
          <w:spacing w:val="5"/>
        </w:rPr>
        <w:t>k</w:t>
      </w:r>
      <w:r w:rsidRPr="008B580E">
        <w:rPr>
          <w:rFonts w:ascii="Times New Roman" w:eastAsia="Times New Roman" w:hAnsi="Times New Roman" w:cs="Times New Roman"/>
          <w:spacing w:val="-2"/>
        </w:rPr>
        <w:t>i</w:t>
      </w:r>
      <w:r w:rsidRPr="008B580E">
        <w:rPr>
          <w:rFonts w:ascii="Times New Roman" w:eastAsia="Times New Roman" w:hAnsi="Times New Roman" w:cs="Times New Roman"/>
        </w:rPr>
        <w:t>t</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rPr>
        <w:t>(</w:t>
      </w:r>
      <w:r w:rsidRPr="008B580E">
        <w:rPr>
          <w:rFonts w:ascii="Times New Roman" w:eastAsia="Times New Roman" w:hAnsi="Times New Roman" w:cs="Times New Roman"/>
          <w:spacing w:val="-2"/>
        </w:rPr>
        <w:t>T</w:t>
      </w:r>
      <w:r w:rsidRPr="008B580E">
        <w:rPr>
          <w:rFonts w:ascii="Times New Roman" w:eastAsia="Times New Roman" w:hAnsi="Times New Roman" w:cs="Times New Roman"/>
          <w:spacing w:val="1"/>
        </w:rPr>
        <w:t>HN</w:t>
      </w:r>
      <w:r w:rsidRPr="008B580E">
        <w:rPr>
          <w:rFonts w:ascii="Times New Roman" w:eastAsia="Times New Roman" w:hAnsi="Times New Roman" w:cs="Times New Roman"/>
        </w:rPr>
        <w:t>) progr</w:t>
      </w:r>
      <w:r w:rsidRPr="008B580E">
        <w:rPr>
          <w:rFonts w:ascii="Times New Roman" w:eastAsia="Times New Roman" w:hAnsi="Times New Roman" w:cs="Times New Roman"/>
          <w:spacing w:val="-1"/>
        </w:rPr>
        <w:t>a</w:t>
      </w:r>
      <w:r w:rsidRPr="008B580E">
        <w:rPr>
          <w:rFonts w:ascii="Times New Roman" w:eastAsia="Times New Roman" w:hAnsi="Times New Roman" w:cs="Times New Roman"/>
        </w:rPr>
        <w:t>m</w:t>
      </w:r>
      <w:r w:rsidRPr="008B580E">
        <w:rPr>
          <w:rFonts w:ascii="Times New Roman" w:eastAsia="Times New Roman" w:hAnsi="Times New Roman" w:cs="Times New Roman"/>
          <w:spacing w:val="-2"/>
        </w:rPr>
        <w:t xml:space="preserve"> a</w:t>
      </w:r>
      <w:r w:rsidRPr="008B580E">
        <w:rPr>
          <w:rFonts w:ascii="Times New Roman" w:eastAsia="Times New Roman" w:hAnsi="Times New Roman" w:cs="Times New Roman"/>
        </w:rPr>
        <w:t>t</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spacing w:val="1"/>
        </w:rPr>
        <w:t>NY</w:t>
      </w:r>
      <w:r w:rsidRPr="008B580E">
        <w:rPr>
          <w:rFonts w:ascii="Times New Roman" w:eastAsia="Times New Roman" w:hAnsi="Times New Roman" w:cs="Times New Roman"/>
        </w:rPr>
        <w:t>U</w:t>
      </w:r>
      <w:r w:rsidRPr="008B580E">
        <w:rPr>
          <w:rFonts w:ascii="Times New Roman" w:eastAsia="Times New Roman" w:hAnsi="Times New Roman" w:cs="Times New Roman"/>
          <w:spacing w:val="1"/>
        </w:rPr>
        <w:t xml:space="preserve"> </w:t>
      </w:r>
      <w:r w:rsidRPr="008B580E">
        <w:rPr>
          <w:rFonts w:ascii="Times New Roman" w:eastAsia="Times New Roman" w:hAnsi="Times New Roman" w:cs="Times New Roman"/>
          <w:spacing w:val="-2"/>
        </w:rPr>
        <w:t>La</w:t>
      </w:r>
      <w:r w:rsidRPr="008B580E">
        <w:rPr>
          <w:rFonts w:ascii="Times New Roman" w:eastAsia="Times New Roman" w:hAnsi="Times New Roman" w:cs="Times New Roman"/>
        </w:rPr>
        <w:t>ngone</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spacing w:val="1"/>
        </w:rPr>
        <w:t>H</w:t>
      </w:r>
      <w:r w:rsidRPr="008B580E">
        <w:rPr>
          <w:rFonts w:ascii="Times New Roman" w:eastAsia="Times New Roman" w:hAnsi="Times New Roman" w:cs="Times New Roman"/>
        </w:rPr>
        <w:t>o</w:t>
      </w:r>
      <w:r w:rsidRPr="008B580E">
        <w:rPr>
          <w:rFonts w:ascii="Times New Roman" w:eastAsia="Times New Roman" w:hAnsi="Times New Roman" w:cs="Times New Roman"/>
          <w:spacing w:val="1"/>
        </w:rPr>
        <w:t>s</w:t>
      </w:r>
      <w:r w:rsidRPr="008B580E">
        <w:rPr>
          <w:rFonts w:ascii="Times New Roman" w:eastAsia="Times New Roman" w:hAnsi="Times New Roman" w:cs="Times New Roman"/>
        </w:rPr>
        <w:t>p</w:t>
      </w:r>
      <w:r w:rsidRPr="008B580E">
        <w:rPr>
          <w:rFonts w:ascii="Times New Roman" w:eastAsia="Times New Roman" w:hAnsi="Times New Roman" w:cs="Times New Roman"/>
          <w:spacing w:val="-2"/>
        </w:rPr>
        <w:t>it</w:t>
      </w:r>
      <w:r w:rsidRPr="008B580E">
        <w:rPr>
          <w:rFonts w:ascii="Times New Roman" w:eastAsia="Times New Roman" w:hAnsi="Times New Roman" w:cs="Times New Roman"/>
          <w:spacing w:val="3"/>
        </w:rPr>
        <w:t>a</w:t>
      </w:r>
      <w:r w:rsidRPr="008B580E">
        <w:rPr>
          <w:rFonts w:ascii="Times New Roman" w:eastAsia="Times New Roman" w:hAnsi="Times New Roman" w:cs="Times New Roman"/>
          <w:spacing w:val="2"/>
        </w:rPr>
        <w:t>l</w:t>
      </w:r>
      <w:r w:rsidRPr="008B580E">
        <w:rPr>
          <w:rFonts w:ascii="Times New Roman" w:eastAsia="Times New Roman" w:hAnsi="Times New Roman" w:cs="Times New Roman"/>
        </w:rPr>
        <w:t>—</w:t>
      </w:r>
      <w:r w:rsidRPr="008B580E">
        <w:rPr>
          <w:rFonts w:ascii="Times New Roman" w:eastAsia="Times New Roman" w:hAnsi="Times New Roman" w:cs="Times New Roman"/>
          <w:spacing w:val="-2"/>
        </w:rPr>
        <w:t>L</w:t>
      </w:r>
      <w:r w:rsidRPr="008B580E">
        <w:rPr>
          <w:rFonts w:ascii="Times New Roman" w:eastAsia="Times New Roman" w:hAnsi="Times New Roman" w:cs="Times New Roman"/>
        </w:rPr>
        <w:t>ong I</w:t>
      </w:r>
      <w:r w:rsidRPr="008B580E">
        <w:rPr>
          <w:rFonts w:ascii="Times New Roman" w:eastAsia="Times New Roman" w:hAnsi="Times New Roman" w:cs="Times New Roman"/>
          <w:spacing w:val="1"/>
        </w:rPr>
        <w:t>s</w:t>
      </w:r>
      <w:r w:rsidRPr="008B580E">
        <w:rPr>
          <w:rFonts w:ascii="Times New Roman" w:eastAsia="Times New Roman" w:hAnsi="Times New Roman" w:cs="Times New Roman"/>
          <w:spacing w:val="-2"/>
        </w:rPr>
        <w:t>la</w:t>
      </w:r>
      <w:r w:rsidRPr="008B580E">
        <w:rPr>
          <w:rFonts w:ascii="Times New Roman" w:eastAsia="Times New Roman" w:hAnsi="Times New Roman" w:cs="Times New Roman"/>
        </w:rPr>
        <w:t>nd’s</w:t>
      </w:r>
      <w:r w:rsidRPr="008B580E">
        <w:rPr>
          <w:rFonts w:ascii="Times New Roman" w:eastAsia="Times New Roman" w:hAnsi="Times New Roman" w:cs="Times New Roman"/>
          <w:spacing w:val="8"/>
        </w:rPr>
        <w:t xml:space="preserve"> </w:t>
      </w:r>
      <w:r w:rsidRPr="008B580E">
        <w:rPr>
          <w:rFonts w:ascii="Times New Roman" w:eastAsia="Times New Roman" w:hAnsi="Times New Roman" w:cs="Times New Roman"/>
          <w:spacing w:val="-2"/>
        </w:rPr>
        <w:t>E</w:t>
      </w:r>
      <w:r w:rsidRPr="008B580E">
        <w:rPr>
          <w:rFonts w:ascii="Times New Roman" w:eastAsia="Times New Roman" w:hAnsi="Times New Roman" w:cs="Times New Roman"/>
        </w:rPr>
        <w:t>D</w:t>
      </w:r>
      <w:r w:rsidRPr="008B580E">
        <w:rPr>
          <w:rFonts w:ascii="Times New Roman" w:eastAsia="Times New Roman" w:hAnsi="Times New Roman" w:cs="Times New Roman"/>
          <w:spacing w:val="-8"/>
        </w:rPr>
        <w:t xml:space="preserve"> </w:t>
      </w:r>
      <w:r w:rsidRPr="008B580E">
        <w:rPr>
          <w:rFonts w:ascii="Times New Roman" w:eastAsia="Times New Roman" w:hAnsi="Times New Roman" w:cs="Times New Roman"/>
          <w:spacing w:val="-2"/>
        </w:rPr>
        <w:t>a</w:t>
      </w:r>
      <w:r w:rsidRPr="008B580E">
        <w:rPr>
          <w:rFonts w:ascii="Times New Roman" w:eastAsia="Times New Roman" w:hAnsi="Times New Roman" w:cs="Times New Roman"/>
        </w:rPr>
        <w:t xml:space="preserve">nd </w:t>
      </w:r>
      <w:r w:rsidRPr="008B580E">
        <w:rPr>
          <w:rFonts w:ascii="Times New Roman" w:eastAsia="Times New Roman" w:hAnsi="Times New Roman" w:cs="Times New Roman"/>
          <w:spacing w:val="-2"/>
        </w:rPr>
        <w:t>t</w:t>
      </w:r>
      <w:r w:rsidRPr="008B580E">
        <w:rPr>
          <w:rFonts w:ascii="Times New Roman" w:eastAsia="Times New Roman" w:hAnsi="Times New Roman" w:cs="Times New Roman"/>
        </w:rPr>
        <w:t xml:space="preserve">o </w:t>
      </w:r>
      <w:r w:rsidRPr="008B580E">
        <w:rPr>
          <w:rFonts w:ascii="Times New Roman" w:eastAsia="Times New Roman" w:hAnsi="Times New Roman" w:cs="Times New Roman"/>
          <w:spacing w:val="-2"/>
        </w:rPr>
        <w:t>a</w:t>
      </w:r>
      <w:r w:rsidRPr="008B580E">
        <w:rPr>
          <w:rFonts w:ascii="Times New Roman" w:eastAsia="Times New Roman" w:hAnsi="Times New Roman" w:cs="Times New Roman"/>
          <w:spacing w:val="1"/>
        </w:rPr>
        <w:t>ss</w:t>
      </w:r>
      <w:r w:rsidRPr="008B580E">
        <w:rPr>
          <w:rFonts w:ascii="Times New Roman" w:eastAsia="Times New Roman" w:hAnsi="Times New Roman" w:cs="Times New Roman"/>
          <w:spacing w:val="-2"/>
        </w:rPr>
        <w:t>e</w:t>
      </w:r>
      <w:r w:rsidRPr="008B580E">
        <w:rPr>
          <w:rFonts w:ascii="Times New Roman" w:eastAsia="Times New Roman" w:hAnsi="Times New Roman" w:cs="Times New Roman"/>
          <w:spacing w:val="1"/>
        </w:rPr>
        <w:t>s</w:t>
      </w:r>
      <w:r w:rsidRPr="008B580E">
        <w:rPr>
          <w:rFonts w:ascii="Times New Roman" w:eastAsia="Times New Roman" w:hAnsi="Times New Roman" w:cs="Times New Roman"/>
        </w:rPr>
        <w:t>s</w:t>
      </w:r>
      <w:r w:rsidRPr="008B580E">
        <w:rPr>
          <w:rFonts w:ascii="Times New Roman" w:eastAsia="Times New Roman" w:hAnsi="Times New Roman" w:cs="Times New Roman"/>
          <w:spacing w:val="1"/>
        </w:rPr>
        <w:t xml:space="preserve"> </w:t>
      </w:r>
      <w:r w:rsidRPr="008B580E">
        <w:rPr>
          <w:rFonts w:ascii="Times New Roman" w:eastAsia="Times New Roman" w:hAnsi="Times New Roman" w:cs="Times New Roman"/>
          <w:spacing w:val="-2"/>
        </w:rPr>
        <w:t>c</w:t>
      </w:r>
      <w:r w:rsidRPr="008B580E">
        <w:rPr>
          <w:rFonts w:ascii="Times New Roman" w:eastAsia="Times New Roman" w:hAnsi="Times New Roman" w:cs="Times New Roman"/>
        </w:rPr>
        <w:t>onf</w:t>
      </w:r>
      <w:r w:rsidRPr="008B580E">
        <w:rPr>
          <w:rFonts w:ascii="Times New Roman" w:eastAsia="Times New Roman" w:hAnsi="Times New Roman" w:cs="Times New Roman"/>
          <w:spacing w:val="-2"/>
        </w:rPr>
        <w:t>i</w:t>
      </w:r>
      <w:r w:rsidRPr="008B580E">
        <w:rPr>
          <w:rFonts w:ascii="Times New Roman" w:eastAsia="Times New Roman" w:hAnsi="Times New Roman" w:cs="Times New Roman"/>
        </w:rPr>
        <w:t>d</w:t>
      </w:r>
      <w:r w:rsidRPr="008B580E">
        <w:rPr>
          <w:rFonts w:ascii="Times New Roman" w:eastAsia="Times New Roman" w:hAnsi="Times New Roman" w:cs="Times New Roman"/>
          <w:spacing w:val="-2"/>
        </w:rPr>
        <w:t>e</w:t>
      </w:r>
      <w:r w:rsidRPr="008B580E">
        <w:rPr>
          <w:rFonts w:ascii="Times New Roman" w:eastAsia="Times New Roman" w:hAnsi="Times New Roman" w:cs="Times New Roman"/>
        </w:rPr>
        <w:t>n</w:t>
      </w:r>
      <w:r w:rsidRPr="008B580E">
        <w:rPr>
          <w:rFonts w:ascii="Times New Roman" w:eastAsia="Times New Roman" w:hAnsi="Times New Roman" w:cs="Times New Roman"/>
          <w:spacing w:val="-2"/>
        </w:rPr>
        <w:t>c</w:t>
      </w:r>
      <w:r w:rsidRPr="008B580E">
        <w:rPr>
          <w:rFonts w:ascii="Times New Roman" w:eastAsia="Times New Roman" w:hAnsi="Times New Roman" w:cs="Times New Roman"/>
        </w:rPr>
        <w:t>e</w:t>
      </w:r>
      <w:r w:rsidRPr="008B580E">
        <w:rPr>
          <w:rFonts w:ascii="Times New Roman" w:eastAsia="Times New Roman" w:hAnsi="Times New Roman" w:cs="Times New Roman"/>
          <w:spacing w:val="3"/>
        </w:rPr>
        <w:t xml:space="preserve"> </w:t>
      </w:r>
      <w:r w:rsidRPr="008B580E">
        <w:rPr>
          <w:rFonts w:ascii="Times New Roman" w:eastAsia="Times New Roman" w:hAnsi="Times New Roman" w:cs="Times New Roman"/>
          <w:spacing w:val="-2"/>
        </w:rPr>
        <w:t>le</w:t>
      </w:r>
      <w:r w:rsidRPr="008B580E">
        <w:rPr>
          <w:rFonts w:ascii="Times New Roman" w:eastAsia="Times New Roman" w:hAnsi="Times New Roman" w:cs="Times New Roman"/>
        </w:rPr>
        <w:t>v</w:t>
      </w:r>
      <w:r w:rsidRPr="008B580E">
        <w:rPr>
          <w:rFonts w:ascii="Times New Roman" w:eastAsia="Times New Roman" w:hAnsi="Times New Roman" w:cs="Times New Roman"/>
          <w:spacing w:val="3"/>
        </w:rPr>
        <w:t>e</w:t>
      </w:r>
      <w:r w:rsidRPr="008B580E">
        <w:rPr>
          <w:rFonts w:ascii="Times New Roman" w:eastAsia="Times New Roman" w:hAnsi="Times New Roman" w:cs="Times New Roman"/>
          <w:spacing w:val="-2"/>
        </w:rPr>
        <w:t>l</w:t>
      </w:r>
      <w:r w:rsidRPr="008B580E">
        <w:rPr>
          <w:rFonts w:ascii="Times New Roman" w:eastAsia="Times New Roman" w:hAnsi="Times New Roman" w:cs="Times New Roman"/>
        </w:rPr>
        <w:t>s</w:t>
      </w:r>
      <w:r w:rsidRPr="008B580E">
        <w:rPr>
          <w:rFonts w:ascii="Times New Roman" w:eastAsia="Times New Roman" w:hAnsi="Times New Roman" w:cs="Times New Roman"/>
          <w:spacing w:val="5"/>
        </w:rPr>
        <w:t xml:space="preserve"> </w:t>
      </w:r>
      <w:r w:rsidRPr="008B580E">
        <w:rPr>
          <w:rFonts w:ascii="Times New Roman" w:eastAsia="Times New Roman" w:hAnsi="Times New Roman" w:cs="Times New Roman"/>
        </w:rPr>
        <w:t>of ph</w:t>
      </w:r>
      <w:r w:rsidRPr="008B580E">
        <w:rPr>
          <w:rFonts w:ascii="Times New Roman" w:eastAsia="Times New Roman" w:hAnsi="Times New Roman" w:cs="Times New Roman"/>
          <w:spacing w:val="-2"/>
        </w:rPr>
        <w:t>a</w:t>
      </w:r>
      <w:r w:rsidRPr="008B580E">
        <w:rPr>
          <w:rFonts w:ascii="Times New Roman" w:eastAsia="Times New Roman" w:hAnsi="Times New Roman" w:cs="Times New Roman"/>
        </w:rPr>
        <w:t>r</w:t>
      </w:r>
      <w:r w:rsidRPr="008B580E">
        <w:rPr>
          <w:rFonts w:ascii="Times New Roman" w:eastAsia="Times New Roman" w:hAnsi="Times New Roman" w:cs="Times New Roman"/>
          <w:spacing w:val="-2"/>
        </w:rPr>
        <w:t>ma</w:t>
      </w:r>
      <w:r w:rsidRPr="008B580E">
        <w:rPr>
          <w:rFonts w:ascii="Times New Roman" w:eastAsia="Times New Roman" w:hAnsi="Times New Roman" w:cs="Times New Roman"/>
          <w:spacing w:val="3"/>
        </w:rPr>
        <w:t>c</w:t>
      </w:r>
      <w:r w:rsidRPr="008B580E">
        <w:rPr>
          <w:rFonts w:ascii="Times New Roman" w:eastAsia="Times New Roman" w:hAnsi="Times New Roman" w:cs="Times New Roman"/>
          <w:spacing w:val="-2"/>
        </w:rPr>
        <w:t>i</w:t>
      </w:r>
      <w:r w:rsidRPr="008B580E">
        <w:rPr>
          <w:rFonts w:ascii="Times New Roman" w:eastAsia="Times New Roman" w:hAnsi="Times New Roman" w:cs="Times New Roman"/>
          <w:spacing w:val="1"/>
        </w:rPr>
        <w:t>s</w:t>
      </w:r>
      <w:r w:rsidRPr="008B580E">
        <w:rPr>
          <w:rFonts w:ascii="Times New Roman" w:eastAsia="Times New Roman" w:hAnsi="Times New Roman" w:cs="Times New Roman"/>
          <w:spacing w:val="-2"/>
        </w:rPr>
        <w:t>t</w:t>
      </w:r>
      <w:r w:rsidRPr="008B580E">
        <w:rPr>
          <w:rFonts w:ascii="Times New Roman" w:eastAsia="Times New Roman" w:hAnsi="Times New Roman" w:cs="Times New Roman"/>
        </w:rPr>
        <w:t>s</w:t>
      </w:r>
      <w:r w:rsidRPr="008B580E">
        <w:rPr>
          <w:rFonts w:ascii="Times New Roman" w:eastAsia="Times New Roman" w:hAnsi="Times New Roman" w:cs="Times New Roman"/>
          <w:spacing w:val="1"/>
        </w:rPr>
        <w:t xml:space="preserve"> </w:t>
      </w:r>
      <w:r w:rsidRPr="008B580E">
        <w:rPr>
          <w:rFonts w:ascii="Times New Roman" w:eastAsia="Times New Roman" w:hAnsi="Times New Roman" w:cs="Times New Roman"/>
        </w:rPr>
        <w:t>r</w:t>
      </w:r>
      <w:r w:rsidRPr="008B580E">
        <w:rPr>
          <w:rFonts w:ascii="Times New Roman" w:eastAsia="Times New Roman" w:hAnsi="Times New Roman" w:cs="Times New Roman"/>
          <w:spacing w:val="-1"/>
        </w:rPr>
        <w:t>e</w:t>
      </w:r>
      <w:r w:rsidRPr="008B580E">
        <w:rPr>
          <w:rFonts w:ascii="Times New Roman" w:eastAsia="Times New Roman" w:hAnsi="Times New Roman" w:cs="Times New Roman"/>
          <w:spacing w:val="-2"/>
        </w:rPr>
        <w:t>l</w:t>
      </w:r>
      <w:r w:rsidRPr="008B580E">
        <w:rPr>
          <w:rFonts w:ascii="Times New Roman" w:eastAsia="Times New Roman" w:hAnsi="Times New Roman" w:cs="Times New Roman"/>
          <w:spacing w:val="3"/>
        </w:rPr>
        <w:t>a</w:t>
      </w:r>
      <w:r w:rsidRPr="008B580E">
        <w:rPr>
          <w:rFonts w:ascii="Times New Roman" w:eastAsia="Times New Roman" w:hAnsi="Times New Roman" w:cs="Times New Roman"/>
          <w:spacing w:val="-2"/>
        </w:rPr>
        <w:t>te</w:t>
      </w:r>
      <w:r w:rsidRPr="008B580E">
        <w:rPr>
          <w:rFonts w:ascii="Times New Roman" w:eastAsia="Times New Roman" w:hAnsi="Times New Roman" w:cs="Times New Roman"/>
        </w:rPr>
        <w:t xml:space="preserve">d </w:t>
      </w:r>
      <w:r w:rsidRPr="008B580E">
        <w:rPr>
          <w:rFonts w:ascii="Times New Roman" w:eastAsia="Times New Roman" w:hAnsi="Times New Roman" w:cs="Times New Roman"/>
          <w:spacing w:val="-2"/>
        </w:rPr>
        <w:t>t</w:t>
      </w:r>
      <w:r w:rsidRPr="008B580E">
        <w:rPr>
          <w:rFonts w:ascii="Times New Roman" w:eastAsia="Times New Roman" w:hAnsi="Times New Roman" w:cs="Times New Roman"/>
        </w:rPr>
        <w:t>o n</w:t>
      </w:r>
      <w:r w:rsidRPr="008B580E">
        <w:rPr>
          <w:rFonts w:ascii="Times New Roman" w:eastAsia="Times New Roman" w:hAnsi="Times New Roman" w:cs="Times New Roman"/>
          <w:spacing w:val="3"/>
        </w:rPr>
        <w:t>a</w:t>
      </w:r>
      <w:r w:rsidRPr="008B580E">
        <w:rPr>
          <w:rFonts w:ascii="Times New Roman" w:eastAsia="Times New Roman" w:hAnsi="Times New Roman" w:cs="Times New Roman"/>
          <w:spacing w:val="-2"/>
        </w:rPr>
        <w:t>l</w:t>
      </w:r>
      <w:r w:rsidRPr="008B580E">
        <w:rPr>
          <w:rFonts w:ascii="Times New Roman" w:eastAsia="Times New Roman" w:hAnsi="Times New Roman" w:cs="Times New Roman"/>
        </w:rPr>
        <w:t>oxone</w:t>
      </w:r>
      <w:r w:rsidRPr="008B580E">
        <w:rPr>
          <w:rFonts w:ascii="Times New Roman" w:eastAsia="Times New Roman" w:hAnsi="Times New Roman" w:cs="Times New Roman"/>
          <w:spacing w:val="-2"/>
        </w:rPr>
        <w:t xml:space="preserve"> c</w:t>
      </w:r>
      <w:r w:rsidRPr="008B580E">
        <w:rPr>
          <w:rFonts w:ascii="Times New Roman" w:eastAsia="Times New Roman" w:hAnsi="Times New Roman" w:cs="Times New Roman"/>
        </w:rPr>
        <w:t>oun</w:t>
      </w:r>
      <w:r w:rsidRPr="008B580E">
        <w:rPr>
          <w:rFonts w:ascii="Times New Roman" w:eastAsia="Times New Roman" w:hAnsi="Times New Roman" w:cs="Times New Roman"/>
          <w:spacing w:val="1"/>
        </w:rPr>
        <w:t>s</w:t>
      </w:r>
      <w:r w:rsidRPr="008B580E">
        <w:rPr>
          <w:rFonts w:ascii="Times New Roman" w:eastAsia="Times New Roman" w:hAnsi="Times New Roman" w:cs="Times New Roman"/>
          <w:spacing w:val="3"/>
        </w:rPr>
        <w:t>e</w:t>
      </w:r>
      <w:r w:rsidRPr="008B580E">
        <w:rPr>
          <w:rFonts w:ascii="Times New Roman" w:eastAsia="Times New Roman" w:hAnsi="Times New Roman" w:cs="Times New Roman"/>
          <w:spacing w:val="-2"/>
        </w:rPr>
        <w:t>li</w:t>
      </w:r>
      <w:r w:rsidRPr="008B580E">
        <w:rPr>
          <w:rFonts w:ascii="Times New Roman" w:eastAsia="Times New Roman" w:hAnsi="Times New Roman" w:cs="Times New Roman"/>
        </w:rPr>
        <w:t>n</w:t>
      </w:r>
      <w:r w:rsidRPr="008B580E">
        <w:rPr>
          <w:rFonts w:ascii="Times New Roman" w:eastAsia="Times New Roman" w:hAnsi="Times New Roman" w:cs="Times New Roman"/>
          <w:spacing w:val="4"/>
        </w:rPr>
        <w:t>g</w:t>
      </w:r>
      <w:r w:rsidRPr="008B580E">
        <w:rPr>
          <w:rFonts w:ascii="Times New Roman" w:eastAsia="Times New Roman" w:hAnsi="Times New Roman" w:cs="Times New Roman"/>
        </w:rPr>
        <w:t>.</w:t>
      </w:r>
    </w:p>
    <w:p w14:paraId="341FBBEC" w14:textId="77777777" w:rsidR="005B56E3" w:rsidRPr="008B580E" w:rsidRDefault="005B56E3" w:rsidP="005B56E3">
      <w:pPr>
        <w:spacing w:before="3" w:line="160" w:lineRule="exact"/>
      </w:pPr>
    </w:p>
    <w:p w14:paraId="4079211B" w14:textId="77777777" w:rsidR="005B56E3" w:rsidRPr="008B580E" w:rsidRDefault="005B56E3" w:rsidP="005B56E3">
      <w:pPr>
        <w:spacing w:line="259" w:lineRule="auto"/>
        <w:ind w:left="101" w:right="98"/>
      </w:pPr>
      <w:r w:rsidRPr="008B580E">
        <w:rPr>
          <w:rFonts w:ascii="Times New Roman" w:eastAsia="Times New Roman" w:hAnsi="Times New Roman" w:cs="Times New Roman"/>
          <w:b/>
          <w:spacing w:val="-2"/>
        </w:rPr>
        <w:t>Me</w:t>
      </w:r>
      <w:r w:rsidRPr="008B580E">
        <w:rPr>
          <w:rFonts w:ascii="Times New Roman" w:eastAsia="Times New Roman" w:hAnsi="Times New Roman" w:cs="Times New Roman"/>
          <w:b/>
        </w:rPr>
        <w:t>t</w:t>
      </w:r>
      <w:r w:rsidRPr="008B580E">
        <w:rPr>
          <w:rFonts w:ascii="Times New Roman" w:eastAsia="Times New Roman" w:hAnsi="Times New Roman" w:cs="Times New Roman"/>
          <w:b/>
          <w:spacing w:val="1"/>
        </w:rPr>
        <w:t>h</w:t>
      </w:r>
      <w:r w:rsidRPr="008B580E">
        <w:rPr>
          <w:rFonts w:ascii="Times New Roman" w:eastAsia="Times New Roman" w:hAnsi="Times New Roman" w:cs="Times New Roman"/>
          <w:b/>
        </w:rPr>
        <w:t>o</w:t>
      </w:r>
      <w:r w:rsidRPr="008B580E">
        <w:rPr>
          <w:rFonts w:ascii="Times New Roman" w:eastAsia="Times New Roman" w:hAnsi="Times New Roman" w:cs="Times New Roman"/>
          <w:b/>
          <w:spacing w:val="1"/>
        </w:rPr>
        <w:t>ds</w:t>
      </w:r>
      <w:r w:rsidRPr="008B580E">
        <w:rPr>
          <w:rFonts w:ascii="Times New Roman" w:eastAsia="Times New Roman" w:hAnsi="Times New Roman" w:cs="Times New Roman"/>
          <w:b/>
        </w:rPr>
        <w:t>:</w:t>
      </w:r>
      <w:r w:rsidRPr="008B580E">
        <w:rPr>
          <w:rFonts w:ascii="Times New Roman" w:eastAsia="Times New Roman" w:hAnsi="Times New Roman" w:cs="Times New Roman"/>
          <w:b/>
          <w:spacing w:val="1"/>
        </w:rPr>
        <w:t xml:space="preserve"> </w:t>
      </w:r>
      <w:r w:rsidRPr="008B580E">
        <w:rPr>
          <w:rFonts w:ascii="Times New Roman" w:eastAsia="Times New Roman" w:hAnsi="Times New Roman" w:cs="Times New Roman"/>
          <w:spacing w:val="1"/>
        </w:rPr>
        <w:t>N</w:t>
      </w:r>
      <w:r w:rsidRPr="008B580E">
        <w:rPr>
          <w:rFonts w:ascii="Times New Roman" w:eastAsia="Times New Roman" w:hAnsi="Times New Roman" w:cs="Times New Roman"/>
          <w:spacing w:val="-2"/>
        </w:rPr>
        <w:t>al</w:t>
      </w:r>
      <w:r w:rsidRPr="008B580E">
        <w:rPr>
          <w:rFonts w:ascii="Times New Roman" w:eastAsia="Times New Roman" w:hAnsi="Times New Roman" w:cs="Times New Roman"/>
        </w:rPr>
        <w:t>oxon</w:t>
      </w:r>
      <w:r w:rsidRPr="008B580E">
        <w:rPr>
          <w:rFonts w:ascii="Times New Roman" w:eastAsia="Times New Roman" w:hAnsi="Times New Roman" w:cs="Times New Roman"/>
          <w:spacing w:val="-1"/>
        </w:rPr>
        <w:t>e</w:t>
      </w:r>
      <w:r w:rsidRPr="008B580E">
        <w:rPr>
          <w:rFonts w:ascii="Times New Roman" w:eastAsia="Times New Roman" w:hAnsi="Times New Roman" w:cs="Times New Roman"/>
        </w:rPr>
        <w:t>-k</w:t>
      </w:r>
      <w:r w:rsidRPr="008B580E">
        <w:rPr>
          <w:rFonts w:ascii="Times New Roman" w:eastAsia="Times New Roman" w:hAnsi="Times New Roman" w:cs="Times New Roman"/>
          <w:spacing w:val="-2"/>
        </w:rPr>
        <w:t>it</w:t>
      </w:r>
      <w:r w:rsidRPr="008B580E">
        <w:rPr>
          <w:rFonts w:ascii="Times New Roman" w:eastAsia="Times New Roman" w:hAnsi="Times New Roman" w:cs="Times New Roman"/>
        </w:rPr>
        <w:t>s</w:t>
      </w:r>
      <w:r w:rsidRPr="008B580E">
        <w:rPr>
          <w:rFonts w:ascii="Times New Roman" w:eastAsia="Times New Roman" w:hAnsi="Times New Roman" w:cs="Times New Roman"/>
          <w:spacing w:val="1"/>
        </w:rPr>
        <w:t xml:space="preserve"> w</w:t>
      </w:r>
      <w:r w:rsidRPr="008B580E">
        <w:rPr>
          <w:rFonts w:ascii="Times New Roman" w:eastAsia="Times New Roman" w:hAnsi="Times New Roman" w:cs="Times New Roman"/>
          <w:spacing w:val="-2"/>
        </w:rPr>
        <w:t>e</w:t>
      </w:r>
      <w:r w:rsidRPr="008B580E">
        <w:rPr>
          <w:rFonts w:ascii="Times New Roman" w:eastAsia="Times New Roman" w:hAnsi="Times New Roman" w:cs="Times New Roman"/>
        </w:rPr>
        <w:t>re</w:t>
      </w:r>
      <w:r w:rsidRPr="008B580E">
        <w:rPr>
          <w:rFonts w:ascii="Times New Roman" w:eastAsia="Times New Roman" w:hAnsi="Times New Roman" w:cs="Times New Roman"/>
          <w:spacing w:val="-1"/>
        </w:rPr>
        <w:t xml:space="preserve"> </w:t>
      </w:r>
      <w:r w:rsidRPr="008B580E">
        <w:rPr>
          <w:rFonts w:ascii="Times New Roman" w:eastAsia="Times New Roman" w:hAnsi="Times New Roman" w:cs="Times New Roman"/>
        </w:rPr>
        <w:t>ord</w:t>
      </w:r>
      <w:r w:rsidRPr="008B580E">
        <w:rPr>
          <w:rFonts w:ascii="Times New Roman" w:eastAsia="Times New Roman" w:hAnsi="Times New Roman" w:cs="Times New Roman"/>
          <w:spacing w:val="-1"/>
        </w:rPr>
        <w:t>e</w:t>
      </w:r>
      <w:r w:rsidRPr="008B580E">
        <w:rPr>
          <w:rFonts w:ascii="Times New Roman" w:eastAsia="Times New Roman" w:hAnsi="Times New Roman" w:cs="Times New Roman"/>
        </w:rPr>
        <w:t>r</w:t>
      </w:r>
      <w:r w:rsidRPr="008B580E">
        <w:rPr>
          <w:rFonts w:ascii="Times New Roman" w:eastAsia="Times New Roman" w:hAnsi="Times New Roman" w:cs="Times New Roman"/>
          <w:spacing w:val="-1"/>
        </w:rPr>
        <w:t>e</w:t>
      </w:r>
      <w:r w:rsidRPr="008B580E">
        <w:rPr>
          <w:rFonts w:ascii="Times New Roman" w:eastAsia="Times New Roman" w:hAnsi="Times New Roman" w:cs="Times New Roman"/>
        </w:rPr>
        <w:t>d fr</w:t>
      </w:r>
      <w:r w:rsidRPr="008B580E">
        <w:rPr>
          <w:rFonts w:ascii="Times New Roman" w:eastAsia="Times New Roman" w:hAnsi="Times New Roman" w:cs="Times New Roman"/>
          <w:spacing w:val="5"/>
        </w:rPr>
        <w:t>o</w:t>
      </w:r>
      <w:r w:rsidRPr="008B580E">
        <w:rPr>
          <w:rFonts w:ascii="Times New Roman" w:eastAsia="Times New Roman" w:hAnsi="Times New Roman" w:cs="Times New Roman"/>
        </w:rPr>
        <w:t>m</w:t>
      </w:r>
      <w:r w:rsidRPr="008B580E">
        <w:rPr>
          <w:rFonts w:ascii="Times New Roman" w:eastAsia="Times New Roman" w:hAnsi="Times New Roman" w:cs="Times New Roman"/>
          <w:spacing w:val="-2"/>
        </w:rPr>
        <w:t xml:space="preserve"> t</w:t>
      </w:r>
      <w:r w:rsidRPr="008B580E">
        <w:rPr>
          <w:rFonts w:ascii="Times New Roman" w:eastAsia="Times New Roman" w:hAnsi="Times New Roman" w:cs="Times New Roman"/>
        </w:rPr>
        <w:t>he</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spacing w:val="1"/>
        </w:rPr>
        <w:t>N</w:t>
      </w:r>
      <w:r w:rsidRPr="008B580E">
        <w:rPr>
          <w:rFonts w:ascii="Times New Roman" w:eastAsia="Times New Roman" w:hAnsi="Times New Roman" w:cs="Times New Roman"/>
          <w:spacing w:val="-2"/>
        </w:rPr>
        <w:t>e</w:t>
      </w:r>
      <w:r w:rsidRPr="008B580E">
        <w:rPr>
          <w:rFonts w:ascii="Times New Roman" w:eastAsia="Times New Roman" w:hAnsi="Times New Roman" w:cs="Times New Roman"/>
        </w:rPr>
        <w:t>w</w:t>
      </w:r>
      <w:r w:rsidRPr="008B580E">
        <w:rPr>
          <w:rFonts w:ascii="Times New Roman" w:eastAsia="Times New Roman" w:hAnsi="Times New Roman" w:cs="Times New Roman"/>
          <w:spacing w:val="6"/>
        </w:rPr>
        <w:t xml:space="preserve"> </w:t>
      </w:r>
      <w:r w:rsidRPr="008B580E">
        <w:rPr>
          <w:rFonts w:ascii="Times New Roman" w:eastAsia="Times New Roman" w:hAnsi="Times New Roman" w:cs="Times New Roman"/>
          <w:spacing w:val="1"/>
        </w:rPr>
        <w:t>Y</w:t>
      </w:r>
      <w:r w:rsidRPr="008B580E">
        <w:rPr>
          <w:rFonts w:ascii="Times New Roman" w:eastAsia="Times New Roman" w:hAnsi="Times New Roman" w:cs="Times New Roman"/>
        </w:rPr>
        <w:t xml:space="preserve">ork </w:t>
      </w:r>
      <w:r w:rsidRPr="008B580E">
        <w:rPr>
          <w:rFonts w:ascii="Times New Roman" w:eastAsia="Times New Roman" w:hAnsi="Times New Roman" w:cs="Times New Roman"/>
          <w:spacing w:val="1"/>
        </w:rPr>
        <w:t>S</w:t>
      </w:r>
      <w:r w:rsidRPr="008B580E">
        <w:rPr>
          <w:rFonts w:ascii="Times New Roman" w:eastAsia="Times New Roman" w:hAnsi="Times New Roman" w:cs="Times New Roman"/>
          <w:spacing w:val="-2"/>
        </w:rPr>
        <w:t>tat</w:t>
      </w:r>
      <w:r w:rsidRPr="008B580E">
        <w:rPr>
          <w:rFonts w:ascii="Times New Roman" w:eastAsia="Times New Roman" w:hAnsi="Times New Roman" w:cs="Times New Roman"/>
        </w:rPr>
        <w:t>e</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spacing w:val="1"/>
        </w:rPr>
        <w:t>D</w:t>
      </w:r>
      <w:r w:rsidRPr="008B580E">
        <w:rPr>
          <w:rFonts w:ascii="Times New Roman" w:eastAsia="Times New Roman" w:hAnsi="Times New Roman" w:cs="Times New Roman"/>
          <w:spacing w:val="-2"/>
        </w:rPr>
        <w:t>e</w:t>
      </w:r>
      <w:r w:rsidRPr="008B580E">
        <w:rPr>
          <w:rFonts w:ascii="Times New Roman" w:eastAsia="Times New Roman" w:hAnsi="Times New Roman" w:cs="Times New Roman"/>
        </w:rPr>
        <w:t>p</w:t>
      </w:r>
      <w:r w:rsidRPr="008B580E">
        <w:rPr>
          <w:rFonts w:ascii="Times New Roman" w:eastAsia="Times New Roman" w:hAnsi="Times New Roman" w:cs="Times New Roman"/>
          <w:spacing w:val="-2"/>
        </w:rPr>
        <w:t>a</w:t>
      </w:r>
      <w:r w:rsidRPr="008B580E">
        <w:rPr>
          <w:rFonts w:ascii="Times New Roman" w:eastAsia="Times New Roman" w:hAnsi="Times New Roman" w:cs="Times New Roman"/>
        </w:rPr>
        <w:t>r</w:t>
      </w:r>
      <w:r w:rsidRPr="008B580E">
        <w:rPr>
          <w:rFonts w:ascii="Times New Roman" w:eastAsia="Times New Roman" w:hAnsi="Times New Roman" w:cs="Times New Roman"/>
          <w:spacing w:val="3"/>
        </w:rPr>
        <w:t>t</w:t>
      </w:r>
      <w:r w:rsidRPr="008B580E">
        <w:rPr>
          <w:rFonts w:ascii="Times New Roman" w:eastAsia="Times New Roman" w:hAnsi="Times New Roman" w:cs="Times New Roman"/>
          <w:spacing w:val="-2"/>
        </w:rPr>
        <w:t>me</w:t>
      </w:r>
      <w:r w:rsidRPr="008B580E">
        <w:rPr>
          <w:rFonts w:ascii="Times New Roman" w:eastAsia="Times New Roman" w:hAnsi="Times New Roman" w:cs="Times New Roman"/>
        </w:rPr>
        <w:t>nt</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rPr>
        <w:t xml:space="preserve">of </w:t>
      </w:r>
      <w:r w:rsidRPr="008B580E">
        <w:rPr>
          <w:rFonts w:ascii="Times New Roman" w:eastAsia="Times New Roman" w:hAnsi="Times New Roman" w:cs="Times New Roman"/>
          <w:spacing w:val="2"/>
        </w:rPr>
        <w:t>H</w:t>
      </w:r>
      <w:r w:rsidRPr="008B580E">
        <w:rPr>
          <w:rFonts w:ascii="Times New Roman" w:eastAsia="Times New Roman" w:hAnsi="Times New Roman" w:cs="Times New Roman"/>
          <w:spacing w:val="-2"/>
        </w:rPr>
        <w:t>e</w:t>
      </w:r>
      <w:r w:rsidRPr="008B580E">
        <w:rPr>
          <w:rFonts w:ascii="Times New Roman" w:eastAsia="Times New Roman" w:hAnsi="Times New Roman" w:cs="Times New Roman"/>
          <w:spacing w:val="3"/>
        </w:rPr>
        <w:t>a</w:t>
      </w:r>
      <w:r w:rsidRPr="008B580E">
        <w:rPr>
          <w:rFonts w:ascii="Times New Roman" w:eastAsia="Times New Roman" w:hAnsi="Times New Roman" w:cs="Times New Roman"/>
          <w:spacing w:val="-2"/>
        </w:rPr>
        <w:t>lt</w:t>
      </w:r>
      <w:r w:rsidRPr="008B580E">
        <w:rPr>
          <w:rFonts w:ascii="Times New Roman" w:eastAsia="Times New Roman" w:hAnsi="Times New Roman" w:cs="Times New Roman"/>
        </w:rPr>
        <w:t xml:space="preserve">h </w:t>
      </w:r>
      <w:r w:rsidRPr="008B580E">
        <w:rPr>
          <w:rFonts w:ascii="Times New Roman" w:eastAsia="Times New Roman" w:hAnsi="Times New Roman" w:cs="Times New Roman"/>
          <w:spacing w:val="3"/>
        </w:rPr>
        <w:t>a</w:t>
      </w:r>
      <w:r w:rsidRPr="008B580E">
        <w:rPr>
          <w:rFonts w:ascii="Times New Roman" w:eastAsia="Times New Roman" w:hAnsi="Times New Roman" w:cs="Times New Roman"/>
        </w:rPr>
        <w:t>t</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rPr>
        <w:t xml:space="preserve">no </w:t>
      </w:r>
      <w:r w:rsidRPr="008B580E">
        <w:rPr>
          <w:rFonts w:ascii="Times New Roman" w:eastAsia="Times New Roman" w:hAnsi="Times New Roman" w:cs="Times New Roman"/>
          <w:spacing w:val="-2"/>
        </w:rPr>
        <w:t>c</w:t>
      </w:r>
      <w:r w:rsidRPr="008B580E">
        <w:rPr>
          <w:rFonts w:ascii="Times New Roman" w:eastAsia="Times New Roman" w:hAnsi="Times New Roman" w:cs="Times New Roman"/>
        </w:rPr>
        <w:t>o</w:t>
      </w:r>
      <w:r w:rsidRPr="008B580E">
        <w:rPr>
          <w:rFonts w:ascii="Times New Roman" w:eastAsia="Times New Roman" w:hAnsi="Times New Roman" w:cs="Times New Roman"/>
          <w:spacing w:val="1"/>
        </w:rPr>
        <w:t>s</w:t>
      </w:r>
      <w:r w:rsidRPr="008B580E">
        <w:rPr>
          <w:rFonts w:ascii="Times New Roman" w:eastAsia="Times New Roman" w:hAnsi="Times New Roman" w:cs="Times New Roman"/>
          <w:spacing w:val="-1"/>
        </w:rPr>
        <w:t>t</w:t>
      </w:r>
      <w:r w:rsidRPr="008B580E">
        <w:rPr>
          <w:rFonts w:ascii="Times New Roman" w:eastAsia="Times New Roman" w:hAnsi="Times New Roman" w:cs="Times New Roman"/>
        </w:rPr>
        <w:t xml:space="preserve">. </w:t>
      </w:r>
      <w:r w:rsidRPr="008B580E">
        <w:rPr>
          <w:rFonts w:ascii="Times New Roman" w:eastAsia="Times New Roman" w:hAnsi="Times New Roman" w:cs="Times New Roman"/>
          <w:spacing w:val="1"/>
        </w:rPr>
        <w:t>A</w:t>
      </w:r>
      <w:r w:rsidRPr="008B580E">
        <w:rPr>
          <w:rFonts w:ascii="Times New Roman" w:eastAsia="Times New Roman" w:hAnsi="Times New Roman" w:cs="Times New Roman"/>
        </w:rPr>
        <w:t>nony</w:t>
      </w:r>
      <w:r w:rsidRPr="008B580E">
        <w:rPr>
          <w:rFonts w:ascii="Times New Roman" w:eastAsia="Times New Roman" w:hAnsi="Times New Roman" w:cs="Times New Roman"/>
          <w:spacing w:val="-2"/>
        </w:rPr>
        <w:t>m</w:t>
      </w:r>
      <w:r w:rsidRPr="008B580E">
        <w:rPr>
          <w:rFonts w:ascii="Times New Roman" w:eastAsia="Times New Roman" w:hAnsi="Times New Roman" w:cs="Times New Roman"/>
        </w:rPr>
        <w:t>ous</w:t>
      </w:r>
      <w:r w:rsidRPr="008B580E">
        <w:rPr>
          <w:rFonts w:ascii="Times New Roman" w:eastAsia="Times New Roman" w:hAnsi="Times New Roman" w:cs="Times New Roman"/>
          <w:spacing w:val="1"/>
        </w:rPr>
        <w:t xml:space="preserve"> s</w:t>
      </w:r>
      <w:r w:rsidRPr="008B580E">
        <w:rPr>
          <w:rFonts w:ascii="Times New Roman" w:eastAsia="Times New Roman" w:hAnsi="Times New Roman" w:cs="Times New Roman"/>
        </w:rPr>
        <w:t>urv</w:t>
      </w:r>
      <w:r w:rsidRPr="008B580E">
        <w:rPr>
          <w:rFonts w:ascii="Times New Roman" w:eastAsia="Times New Roman" w:hAnsi="Times New Roman" w:cs="Times New Roman"/>
          <w:spacing w:val="-1"/>
        </w:rPr>
        <w:t>e</w:t>
      </w:r>
      <w:r w:rsidRPr="008B580E">
        <w:rPr>
          <w:rFonts w:ascii="Times New Roman" w:eastAsia="Times New Roman" w:hAnsi="Times New Roman" w:cs="Times New Roman"/>
        </w:rPr>
        <w:t>ys</w:t>
      </w:r>
      <w:r w:rsidRPr="008B580E">
        <w:rPr>
          <w:rFonts w:ascii="Times New Roman" w:eastAsia="Times New Roman" w:hAnsi="Times New Roman" w:cs="Times New Roman"/>
          <w:spacing w:val="1"/>
        </w:rPr>
        <w:t xml:space="preserve"> w</w:t>
      </w:r>
      <w:r w:rsidRPr="008B580E">
        <w:rPr>
          <w:rFonts w:ascii="Times New Roman" w:eastAsia="Times New Roman" w:hAnsi="Times New Roman" w:cs="Times New Roman"/>
          <w:spacing w:val="-2"/>
        </w:rPr>
        <w:t>e</w:t>
      </w:r>
      <w:r w:rsidRPr="008B580E">
        <w:rPr>
          <w:rFonts w:ascii="Times New Roman" w:eastAsia="Times New Roman" w:hAnsi="Times New Roman" w:cs="Times New Roman"/>
        </w:rPr>
        <w:t>re</w:t>
      </w:r>
      <w:r w:rsidRPr="008B580E">
        <w:rPr>
          <w:rFonts w:ascii="Times New Roman" w:eastAsia="Times New Roman" w:hAnsi="Times New Roman" w:cs="Times New Roman"/>
          <w:spacing w:val="1"/>
        </w:rPr>
        <w:t xml:space="preserve"> </w:t>
      </w:r>
      <w:r w:rsidRPr="008B580E">
        <w:rPr>
          <w:rFonts w:ascii="Times New Roman" w:eastAsia="Times New Roman" w:hAnsi="Times New Roman" w:cs="Times New Roman"/>
          <w:spacing w:val="-2"/>
        </w:rPr>
        <w:t>a</w:t>
      </w:r>
      <w:r w:rsidRPr="008B580E">
        <w:rPr>
          <w:rFonts w:ascii="Times New Roman" w:eastAsia="Times New Roman" w:hAnsi="Times New Roman" w:cs="Times New Roman"/>
        </w:rPr>
        <w:t>d</w:t>
      </w:r>
      <w:r w:rsidRPr="008B580E">
        <w:rPr>
          <w:rFonts w:ascii="Times New Roman" w:eastAsia="Times New Roman" w:hAnsi="Times New Roman" w:cs="Times New Roman"/>
          <w:spacing w:val="-2"/>
        </w:rPr>
        <w:t>mi</w:t>
      </w:r>
      <w:r w:rsidRPr="008B580E">
        <w:rPr>
          <w:rFonts w:ascii="Times New Roman" w:eastAsia="Times New Roman" w:hAnsi="Times New Roman" w:cs="Times New Roman"/>
        </w:rPr>
        <w:t>n</w:t>
      </w:r>
      <w:r w:rsidRPr="008B580E">
        <w:rPr>
          <w:rFonts w:ascii="Times New Roman" w:eastAsia="Times New Roman" w:hAnsi="Times New Roman" w:cs="Times New Roman"/>
          <w:spacing w:val="-2"/>
        </w:rPr>
        <w:t>i</w:t>
      </w:r>
      <w:r w:rsidRPr="008B580E">
        <w:rPr>
          <w:rFonts w:ascii="Times New Roman" w:eastAsia="Times New Roman" w:hAnsi="Times New Roman" w:cs="Times New Roman"/>
          <w:spacing w:val="1"/>
        </w:rPr>
        <w:t>s</w:t>
      </w:r>
      <w:r w:rsidRPr="008B580E">
        <w:rPr>
          <w:rFonts w:ascii="Times New Roman" w:eastAsia="Times New Roman" w:hAnsi="Times New Roman" w:cs="Times New Roman"/>
          <w:spacing w:val="3"/>
        </w:rPr>
        <w:t>t</w:t>
      </w:r>
      <w:r w:rsidRPr="008B580E">
        <w:rPr>
          <w:rFonts w:ascii="Times New Roman" w:eastAsia="Times New Roman" w:hAnsi="Times New Roman" w:cs="Times New Roman"/>
          <w:spacing w:val="-2"/>
        </w:rPr>
        <w:t>e</w:t>
      </w:r>
      <w:r w:rsidRPr="008B580E">
        <w:rPr>
          <w:rFonts w:ascii="Times New Roman" w:eastAsia="Times New Roman" w:hAnsi="Times New Roman" w:cs="Times New Roman"/>
        </w:rPr>
        <w:t>r</w:t>
      </w:r>
      <w:r w:rsidRPr="008B580E">
        <w:rPr>
          <w:rFonts w:ascii="Times New Roman" w:eastAsia="Times New Roman" w:hAnsi="Times New Roman" w:cs="Times New Roman"/>
          <w:spacing w:val="-1"/>
        </w:rPr>
        <w:t>e</w:t>
      </w:r>
      <w:r w:rsidRPr="008B580E">
        <w:rPr>
          <w:rFonts w:ascii="Times New Roman" w:eastAsia="Times New Roman" w:hAnsi="Times New Roman" w:cs="Times New Roman"/>
        </w:rPr>
        <w:t xml:space="preserve">d </w:t>
      </w:r>
      <w:r w:rsidRPr="008B580E">
        <w:rPr>
          <w:rFonts w:ascii="Times New Roman" w:eastAsia="Times New Roman" w:hAnsi="Times New Roman" w:cs="Times New Roman"/>
          <w:spacing w:val="-2"/>
        </w:rPr>
        <w:t>t</w:t>
      </w:r>
      <w:r w:rsidRPr="008B580E">
        <w:rPr>
          <w:rFonts w:ascii="Times New Roman" w:eastAsia="Times New Roman" w:hAnsi="Times New Roman" w:cs="Times New Roman"/>
        </w:rPr>
        <w:t>o</w:t>
      </w:r>
      <w:r w:rsidRPr="008B580E">
        <w:rPr>
          <w:rFonts w:ascii="Times New Roman" w:eastAsia="Times New Roman" w:hAnsi="Times New Roman" w:cs="Times New Roman"/>
          <w:spacing w:val="1"/>
        </w:rPr>
        <w:t xml:space="preserve"> </w:t>
      </w:r>
      <w:r w:rsidRPr="008B580E">
        <w:rPr>
          <w:rFonts w:ascii="Times New Roman" w:eastAsia="Times New Roman" w:hAnsi="Times New Roman" w:cs="Times New Roman"/>
        </w:rPr>
        <w:t xml:space="preserve">14 </w:t>
      </w:r>
      <w:r w:rsidRPr="008B580E">
        <w:rPr>
          <w:rFonts w:ascii="Times New Roman" w:eastAsia="Times New Roman" w:hAnsi="Times New Roman" w:cs="Times New Roman"/>
          <w:spacing w:val="5"/>
        </w:rPr>
        <w:t>p</w:t>
      </w:r>
      <w:r w:rsidRPr="008B580E">
        <w:rPr>
          <w:rFonts w:ascii="Times New Roman" w:eastAsia="Times New Roman" w:hAnsi="Times New Roman" w:cs="Times New Roman"/>
        </w:rPr>
        <w:t>h</w:t>
      </w:r>
      <w:r w:rsidRPr="008B580E">
        <w:rPr>
          <w:rFonts w:ascii="Times New Roman" w:eastAsia="Times New Roman" w:hAnsi="Times New Roman" w:cs="Times New Roman"/>
          <w:spacing w:val="-2"/>
        </w:rPr>
        <w:t>a</w:t>
      </w:r>
      <w:r w:rsidRPr="008B580E">
        <w:rPr>
          <w:rFonts w:ascii="Times New Roman" w:eastAsia="Times New Roman" w:hAnsi="Times New Roman" w:cs="Times New Roman"/>
        </w:rPr>
        <w:t>r</w:t>
      </w:r>
      <w:r w:rsidRPr="008B580E">
        <w:rPr>
          <w:rFonts w:ascii="Times New Roman" w:eastAsia="Times New Roman" w:hAnsi="Times New Roman" w:cs="Times New Roman"/>
          <w:spacing w:val="-2"/>
        </w:rPr>
        <w:t>ma</w:t>
      </w:r>
      <w:r w:rsidRPr="008B580E">
        <w:rPr>
          <w:rFonts w:ascii="Times New Roman" w:eastAsia="Times New Roman" w:hAnsi="Times New Roman" w:cs="Times New Roman"/>
          <w:spacing w:val="3"/>
        </w:rPr>
        <w:t>c</w:t>
      </w:r>
      <w:r w:rsidRPr="008B580E">
        <w:rPr>
          <w:rFonts w:ascii="Times New Roman" w:eastAsia="Times New Roman" w:hAnsi="Times New Roman" w:cs="Times New Roman"/>
          <w:spacing w:val="-2"/>
        </w:rPr>
        <w:t>i</w:t>
      </w:r>
      <w:r w:rsidRPr="008B580E">
        <w:rPr>
          <w:rFonts w:ascii="Times New Roman" w:eastAsia="Times New Roman" w:hAnsi="Times New Roman" w:cs="Times New Roman"/>
          <w:spacing w:val="1"/>
        </w:rPr>
        <w:t>s</w:t>
      </w:r>
      <w:r w:rsidRPr="008B580E">
        <w:rPr>
          <w:rFonts w:ascii="Times New Roman" w:eastAsia="Times New Roman" w:hAnsi="Times New Roman" w:cs="Times New Roman"/>
          <w:spacing w:val="-2"/>
        </w:rPr>
        <w:t>t</w:t>
      </w:r>
      <w:r w:rsidRPr="008B580E">
        <w:rPr>
          <w:rFonts w:ascii="Times New Roman" w:eastAsia="Times New Roman" w:hAnsi="Times New Roman" w:cs="Times New Roman"/>
        </w:rPr>
        <w:t>s</w:t>
      </w:r>
      <w:r w:rsidRPr="008B580E">
        <w:rPr>
          <w:rFonts w:ascii="Times New Roman" w:eastAsia="Times New Roman" w:hAnsi="Times New Roman" w:cs="Times New Roman"/>
          <w:spacing w:val="1"/>
        </w:rPr>
        <w:t xml:space="preserve"> </w:t>
      </w:r>
      <w:r w:rsidRPr="008B580E">
        <w:rPr>
          <w:rFonts w:ascii="Times New Roman" w:eastAsia="Times New Roman" w:hAnsi="Times New Roman" w:cs="Times New Roman"/>
        </w:rPr>
        <w:t>b</w:t>
      </w:r>
      <w:r w:rsidRPr="008B580E">
        <w:rPr>
          <w:rFonts w:ascii="Times New Roman" w:eastAsia="Times New Roman" w:hAnsi="Times New Roman" w:cs="Times New Roman"/>
          <w:spacing w:val="-2"/>
        </w:rPr>
        <w:t>e</w:t>
      </w:r>
      <w:r w:rsidRPr="008B580E">
        <w:rPr>
          <w:rFonts w:ascii="Times New Roman" w:eastAsia="Times New Roman" w:hAnsi="Times New Roman" w:cs="Times New Roman"/>
        </w:rPr>
        <w:t>fore</w:t>
      </w:r>
      <w:r w:rsidRPr="008B580E">
        <w:rPr>
          <w:rFonts w:ascii="Times New Roman" w:eastAsia="Times New Roman" w:hAnsi="Times New Roman" w:cs="Times New Roman"/>
          <w:spacing w:val="-1"/>
        </w:rPr>
        <w:t xml:space="preserve"> </w:t>
      </w:r>
      <w:r w:rsidRPr="008B580E">
        <w:rPr>
          <w:rFonts w:ascii="Times New Roman" w:eastAsia="Times New Roman" w:hAnsi="Times New Roman" w:cs="Times New Roman"/>
          <w:spacing w:val="-2"/>
        </w:rPr>
        <w:t>a</w:t>
      </w:r>
      <w:r w:rsidRPr="008B580E">
        <w:rPr>
          <w:rFonts w:ascii="Times New Roman" w:eastAsia="Times New Roman" w:hAnsi="Times New Roman" w:cs="Times New Roman"/>
        </w:rPr>
        <w:t xml:space="preserve">nd </w:t>
      </w:r>
      <w:r w:rsidRPr="008B580E">
        <w:rPr>
          <w:rFonts w:ascii="Times New Roman" w:eastAsia="Times New Roman" w:hAnsi="Times New Roman" w:cs="Times New Roman"/>
          <w:spacing w:val="-2"/>
        </w:rPr>
        <w:t>a</w:t>
      </w:r>
      <w:r w:rsidRPr="008B580E">
        <w:rPr>
          <w:rFonts w:ascii="Times New Roman" w:eastAsia="Times New Roman" w:hAnsi="Times New Roman" w:cs="Times New Roman"/>
          <w:spacing w:val="5"/>
        </w:rPr>
        <w:t>f</w:t>
      </w:r>
      <w:r w:rsidRPr="008B580E">
        <w:rPr>
          <w:rFonts w:ascii="Times New Roman" w:eastAsia="Times New Roman" w:hAnsi="Times New Roman" w:cs="Times New Roman"/>
          <w:spacing w:val="-2"/>
        </w:rPr>
        <w:t>te</w:t>
      </w:r>
      <w:r w:rsidRPr="008B580E">
        <w:rPr>
          <w:rFonts w:ascii="Times New Roman" w:eastAsia="Times New Roman" w:hAnsi="Times New Roman" w:cs="Times New Roman"/>
        </w:rPr>
        <w:t xml:space="preserve">r </w:t>
      </w:r>
      <w:r w:rsidRPr="008B580E">
        <w:rPr>
          <w:rFonts w:ascii="Times New Roman" w:eastAsia="Times New Roman" w:hAnsi="Times New Roman" w:cs="Times New Roman"/>
          <w:spacing w:val="1"/>
        </w:rPr>
        <w:t>s</w:t>
      </w:r>
      <w:r w:rsidRPr="008B580E">
        <w:rPr>
          <w:rFonts w:ascii="Times New Roman" w:eastAsia="Times New Roman" w:hAnsi="Times New Roman" w:cs="Times New Roman"/>
          <w:spacing w:val="-2"/>
        </w:rPr>
        <w:t>ta</w:t>
      </w:r>
      <w:r w:rsidRPr="008B580E">
        <w:rPr>
          <w:rFonts w:ascii="Times New Roman" w:eastAsia="Times New Roman" w:hAnsi="Times New Roman" w:cs="Times New Roman"/>
        </w:rPr>
        <w:t>n</w:t>
      </w:r>
      <w:r w:rsidRPr="008B580E">
        <w:rPr>
          <w:rFonts w:ascii="Times New Roman" w:eastAsia="Times New Roman" w:hAnsi="Times New Roman" w:cs="Times New Roman"/>
          <w:spacing w:val="5"/>
        </w:rPr>
        <w:t>d</w:t>
      </w:r>
      <w:r w:rsidRPr="008B580E">
        <w:rPr>
          <w:rFonts w:ascii="Times New Roman" w:eastAsia="Times New Roman" w:hAnsi="Times New Roman" w:cs="Times New Roman"/>
          <w:spacing w:val="-2"/>
        </w:rPr>
        <w:t>a</w:t>
      </w:r>
      <w:r w:rsidRPr="008B580E">
        <w:rPr>
          <w:rFonts w:ascii="Times New Roman" w:eastAsia="Times New Roman" w:hAnsi="Times New Roman" w:cs="Times New Roman"/>
        </w:rPr>
        <w:t>rd</w:t>
      </w:r>
      <w:r w:rsidRPr="008B580E">
        <w:rPr>
          <w:rFonts w:ascii="Times New Roman" w:eastAsia="Times New Roman" w:hAnsi="Times New Roman" w:cs="Times New Roman"/>
          <w:spacing w:val="-2"/>
        </w:rPr>
        <w:t>i</w:t>
      </w:r>
      <w:r w:rsidRPr="008B580E">
        <w:rPr>
          <w:rFonts w:ascii="Times New Roman" w:eastAsia="Times New Roman" w:hAnsi="Times New Roman" w:cs="Times New Roman"/>
          <w:spacing w:val="3"/>
        </w:rPr>
        <w:t>z</w:t>
      </w:r>
      <w:r w:rsidRPr="008B580E">
        <w:rPr>
          <w:rFonts w:ascii="Times New Roman" w:eastAsia="Times New Roman" w:hAnsi="Times New Roman" w:cs="Times New Roman"/>
          <w:spacing w:val="-2"/>
        </w:rPr>
        <w:t>e</w:t>
      </w:r>
      <w:r w:rsidRPr="008B580E">
        <w:rPr>
          <w:rFonts w:ascii="Times New Roman" w:eastAsia="Times New Roman" w:hAnsi="Times New Roman" w:cs="Times New Roman"/>
        </w:rPr>
        <w:t>d n</w:t>
      </w:r>
      <w:r w:rsidRPr="008B580E">
        <w:rPr>
          <w:rFonts w:ascii="Times New Roman" w:eastAsia="Times New Roman" w:hAnsi="Times New Roman" w:cs="Times New Roman"/>
          <w:spacing w:val="-2"/>
        </w:rPr>
        <w:t>al</w:t>
      </w:r>
      <w:r w:rsidRPr="008B580E">
        <w:rPr>
          <w:rFonts w:ascii="Times New Roman" w:eastAsia="Times New Roman" w:hAnsi="Times New Roman" w:cs="Times New Roman"/>
        </w:rPr>
        <w:t>oxone</w:t>
      </w:r>
      <w:r w:rsidRPr="008B580E">
        <w:rPr>
          <w:rFonts w:ascii="Times New Roman" w:eastAsia="Times New Roman" w:hAnsi="Times New Roman" w:cs="Times New Roman"/>
          <w:spacing w:val="-2"/>
        </w:rPr>
        <w:t xml:space="preserve"> t</w:t>
      </w:r>
      <w:r w:rsidRPr="008B580E">
        <w:rPr>
          <w:rFonts w:ascii="Times New Roman" w:eastAsia="Times New Roman" w:hAnsi="Times New Roman" w:cs="Times New Roman"/>
          <w:spacing w:val="5"/>
        </w:rPr>
        <w:t>r</w:t>
      </w:r>
      <w:r w:rsidRPr="008B580E">
        <w:rPr>
          <w:rFonts w:ascii="Times New Roman" w:eastAsia="Times New Roman" w:hAnsi="Times New Roman" w:cs="Times New Roman"/>
          <w:spacing w:val="-2"/>
        </w:rPr>
        <w:t>ai</w:t>
      </w:r>
      <w:r w:rsidRPr="008B580E">
        <w:rPr>
          <w:rFonts w:ascii="Times New Roman" w:eastAsia="Times New Roman" w:hAnsi="Times New Roman" w:cs="Times New Roman"/>
        </w:rPr>
        <w:t>n</w:t>
      </w:r>
      <w:r w:rsidRPr="008B580E">
        <w:rPr>
          <w:rFonts w:ascii="Times New Roman" w:eastAsia="Times New Roman" w:hAnsi="Times New Roman" w:cs="Times New Roman"/>
          <w:spacing w:val="-2"/>
        </w:rPr>
        <w:t>i</w:t>
      </w:r>
      <w:r w:rsidRPr="008B580E">
        <w:rPr>
          <w:rFonts w:ascii="Times New Roman" w:eastAsia="Times New Roman" w:hAnsi="Times New Roman" w:cs="Times New Roman"/>
        </w:rPr>
        <w:t>ng</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rPr>
        <w:t>(</w:t>
      </w:r>
      <w:r w:rsidRPr="008B580E">
        <w:rPr>
          <w:rFonts w:ascii="Times New Roman" w:eastAsia="Times New Roman" w:hAnsi="Times New Roman" w:cs="Times New Roman"/>
          <w:spacing w:val="1"/>
        </w:rPr>
        <w:t>N</w:t>
      </w:r>
      <w:r w:rsidRPr="008B580E">
        <w:rPr>
          <w:rFonts w:ascii="Times New Roman" w:eastAsia="Times New Roman" w:hAnsi="Times New Roman" w:cs="Times New Roman"/>
          <w:spacing w:val="-2"/>
        </w:rPr>
        <w:t>T</w:t>
      </w:r>
      <w:r w:rsidRPr="008B580E">
        <w:rPr>
          <w:rFonts w:ascii="Times New Roman" w:eastAsia="Times New Roman" w:hAnsi="Times New Roman" w:cs="Times New Roman"/>
        </w:rPr>
        <w:t>)</w:t>
      </w:r>
      <w:r w:rsidRPr="008B580E">
        <w:rPr>
          <w:rFonts w:ascii="Times New Roman" w:eastAsia="Times New Roman" w:hAnsi="Times New Roman" w:cs="Times New Roman"/>
          <w:spacing w:val="5"/>
        </w:rPr>
        <w:t xml:space="preserve"> </w:t>
      </w:r>
      <w:r w:rsidRPr="008B580E">
        <w:rPr>
          <w:rFonts w:ascii="Times New Roman" w:eastAsia="Times New Roman" w:hAnsi="Times New Roman" w:cs="Times New Roman"/>
          <w:spacing w:val="-2"/>
        </w:rPr>
        <w:t>t</w:t>
      </w:r>
      <w:r w:rsidRPr="008B580E">
        <w:rPr>
          <w:rFonts w:ascii="Times New Roman" w:eastAsia="Times New Roman" w:hAnsi="Times New Roman" w:cs="Times New Roman"/>
        </w:rPr>
        <w:t xml:space="preserve">o </w:t>
      </w:r>
      <w:r w:rsidRPr="008B580E">
        <w:rPr>
          <w:rFonts w:ascii="Times New Roman" w:eastAsia="Times New Roman" w:hAnsi="Times New Roman" w:cs="Times New Roman"/>
          <w:spacing w:val="-2"/>
        </w:rPr>
        <w:t>a</w:t>
      </w:r>
      <w:r w:rsidRPr="008B580E">
        <w:rPr>
          <w:rFonts w:ascii="Times New Roman" w:eastAsia="Times New Roman" w:hAnsi="Times New Roman" w:cs="Times New Roman"/>
          <w:spacing w:val="1"/>
        </w:rPr>
        <w:t>ss</w:t>
      </w:r>
      <w:r w:rsidRPr="008B580E">
        <w:rPr>
          <w:rFonts w:ascii="Times New Roman" w:eastAsia="Times New Roman" w:hAnsi="Times New Roman" w:cs="Times New Roman"/>
          <w:spacing w:val="-2"/>
        </w:rPr>
        <w:t>e</w:t>
      </w:r>
      <w:r w:rsidRPr="008B580E">
        <w:rPr>
          <w:rFonts w:ascii="Times New Roman" w:eastAsia="Times New Roman" w:hAnsi="Times New Roman" w:cs="Times New Roman"/>
          <w:spacing w:val="1"/>
        </w:rPr>
        <w:t>s</w:t>
      </w:r>
      <w:r w:rsidRPr="008B580E">
        <w:rPr>
          <w:rFonts w:ascii="Times New Roman" w:eastAsia="Times New Roman" w:hAnsi="Times New Roman" w:cs="Times New Roman"/>
        </w:rPr>
        <w:t>s</w:t>
      </w:r>
      <w:r w:rsidRPr="008B580E">
        <w:rPr>
          <w:rFonts w:ascii="Times New Roman" w:eastAsia="Times New Roman" w:hAnsi="Times New Roman" w:cs="Times New Roman"/>
          <w:spacing w:val="1"/>
        </w:rPr>
        <w:t xml:space="preserve"> </w:t>
      </w:r>
      <w:r w:rsidRPr="008B580E">
        <w:rPr>
          <w:rFonts w:ascii="Times New Roman" w:eastAsia="Times New Roman" w:hAnsi="Times New Roman" w:cs="Times New Roman"/>
          <w:spacing w:val="-2"/>
        </w:rPr>
        <w:t>c</w:t>
      </w:r>
      <w:r w:rsidRPr="008B580E">
        <w:rPr>
          <w:rFonts w:ascii="Times New Roman" w:eastAsia="Times New Roman" w:hAnsi="Times New Roman" w:cs="Times New Roman"/>
        </w:rPr>
        <w:t>onf</w:t>
      </w:r>
      <w:r w:rsidRPr="008B580E">
        <w:rPr>
          <w:rFonts w:ascii="Times New Roman" w:eastAsia="Times New Roman" w:hAnsi="Times New Roman" w:cs="Times New Roman"/>
          <w:spacing w:val="-2"/>
        </w:rPr>
        <w:t>i</w:t>
      </w:r>
      <w:r w:rsidRPr="008B580E">
        <w:rPr>
          <w:rFonts w:ascii="Times New Roman" w:eastAsia="Times New Roman" w:hAnsi="Times New Roman" w:cs="Times New Roman"/>
        </w:rPr>
        <w:t>d</w:t>
      </w:r>
      <w:r w:rsidRPr="008B580E">
        <w:rPr>
          <w:rFonts w:ascii="Times New Roman" w:eastAsia="Times New Roman" w:hAnsi="Times New Roman" w:cs="Times New Roman"/>
          <w:spacing w:val="-2"/>
        </w:rPr>
        <w:t>e</w:t>
      </w:r>
      <w:r w:rsidRPr="008B580E">
        <w:rPr>
          <w:rFonts w:ascii="Times New Roman" w:eastAsia="Times New Roman" w:hAnsi="Times New Roman" w:cs="Times New Roman"/>
        </w:rPr>
        <w:t>n</w:t>
      </w:r>
      <w:r w:rsidRPr="008B580E">
        <w:rPr>
          <w:rFonts w:ascii="Times New Roman" w:eastAsia="Times New Roman" w:hAnsi="Times New Roman" w:cs="Times New Roman"/>
          <w:spacing w:val="-2"/>
        </w:rPr>
        <w:t>c</w:t>
      </w:r>
      <w:r w:rsidRPr="008B580E">
        <w:rPr>
          <w:rFonts w:ascii="Times New Roman" w:eastAsia="Times New Roman" w:hAnsi="Times New Roman" w:cs="Times New Roman"/>
        </w:rPr>
        <w:t>e</w:t>
      </w:r>
      <w:r w:rsidRPr="008B580E">
        <w:rPr>
          <w:rFonts w:ascii="Times New Roman" w:eastAsia="Times New Roman" w:hAnsi="Times New Roman" w:cs="Times New Roman"/>
          <w:spacing w:val="3"/>
        </w:rPr>
        <w:t xml:space="preserve"> </w:t>
      </w:r>
      <w:r w:rsidRPr="008B580E">
        <w:rPr>
          <w:rFonts w:ascii="Times New Roman" w:eastAsia="Times New Roman" w:hAnsi="Times New Roman" w:cs="Times New Roman"/>
          <w:spacing w:val="-2"/>
        </w:rPr>
        <w:t>le</w:t>
      </w:r>
      <w:r w:rsidRPr="008B580E">
        <w:rPr>
          <w:rFonts w:ascii="Times New Roman" w:eastAsia="Times New Roman" w:hAnsi="Times New Roman" w:cs="Times New Roman"/>
        </w:rPr>
        <w:t>v</w:t>
      </w:r>
      <w:r w:rsidRPr="008B580E">
        <w:rPr>
          <w:rFonts w:ascii="Times New Roman" w:eastAsia="Times New Roman" w:hAnsi="Times New Roman" w:cs="Times New Roman"/>
          <w:spacing w:val="3"/>
        </w:rPr>
        <w:t>e</w:t>
      </w:r>
      <w:r w:rsidRPr="008B580E">
        <w:rPr>
          <w:rFonts w:ascii="Times New Roman" w:eastAsia="Times New Roman" w:hAnsi="Times New Roman" w:cs="Times New Roman"/>
          <w:spacing w:val="-2"/>
        </w:rPr>
        <w:t>l</w:t>
      </w:r>
      <w:r w:rsidRPr="008B580E">
        <w:rPr>
          <w:rFonts w:ascii="Times New Roman" w:eastAsia="Times New Roman" w:hAnsi="Times New Roman" w:cs="Times New Roman"/>
        </w:rPr>
        <w:t>s</w:t>
      </w:r>
      <w:r w:rsidRPr="008B580E">
        <w:rPr>
          <w:rFonts w:ascii="Times New Roman" w:eastAsia="Times New Roman" w:hAnsi="Times New Roman" w:cs="Times New Roman"/>
          <w:spacing w:val="1"/>
        </w:rPr>
        <w:t xml:space="preserve"> </w:t>
      </w:r>
      <w:r w:rsidRPr="008B580E">
        <w:rPr>
          <w:rFonts w:ascii="Times New Roman" w:eastAsia="Times New Roman" w:hAnsi="Times New Roman" w:cs="Times New Roman"/>
          <w:spacing w:val="-2"/>
        </w:rPr>
        <w:t>i</w:t>
      </w:r>
      <w:r w:rsidRPr="008B580E">
        <w:rPr>
          <w:rFonts w:ascii="Times New Roman" w:eastAsia="Times New Roman" w:hAnsi="Times New Roman" w:cs="Times New Roman"/>
        </w:rPr>
        <w:t>n</w:t>
      </w:r>
      <w:r w:rsidRPr="008B580E">
        <w:rPr>
          <w:rFonts w:ascii="Times New Roman" w:eastAsia="Times New Roman" w:hAnsi="Times New Roman" w:cs="Times New Roman"/>
          <w:spacing w:val="5"/>
        </w:rPr>
        <w:t xml:space="preserve"> </w:t>
      </w:r>
      <w:r w:rsidRPr="008B580E">
        <w:rPr>
          <w:rFonts w:ascii="Times New Roman" w:eastAsia="Times New Roman" w:hAnsi="Times New Roman" w:cs="Times New Roman"/>
          <w:spacing w:val="-2"/>
        </w:rPr>
        <w:t>i</w:t>
      </w:r>
      <w:r w:rsidRPr="008B580E">
        <w:rPr>
          <w:rFonts w:ascii="Times New Roman" w:eastAsia="Times New Roman" w:hAnsi="Times New Roman" w:cs="Times New Roman"/>
        </w:rPr>
        <w:t>d</w:t>
      </w:r>
      <w:r w:rsidRPr="008B580E">
        <w:rPr>
          <w:rFonts w:ascii="Times New Roman" w:eastAsia="Times New Roman" w:hAnsi="Times New Roman" w:cs="Times New Roman"/>
          <w:spacing w:val="-2"/>
        </w:rPr>
        <w:t>e</w:t>
      </w:r>
      <w:r w:rsidRPr="008B580E">
        <w:rPr>
          <w:rFonts w:ascii="Times New Roman" w:eastAsia="Times New Roman" w:hAnsi="Times New Roman" w:cs="Times New Roman"/>
        </w:rPr>
        <w:t>n</w:t>
      </w:r>
      <w:r w:rsidRPr="008B580E">
        <w:rPr>
          <w:rFonts w:ascii="Times New Roman" w:eastAsia="Times New Roman" w:hAnsi="Times New Roman" w:cs="Times New Roman"/>
          <w:spacing w:val="-2"/>
        </w:rPr>
        <w:t>ti</w:t>
      </w:r>
      <w:r w:rsidRPr="008B580E">
        <w:rPr>
          <w:rFonts w:ascii="Times New Roman" w:eastAsia="Times New Roman" w:hAnsi="Times New Roman" w:cs="Times New Roman"/>
        </w:rPr>
        <w:t>f</w:t>
      </w:r>
      <w:r w:rsidRPr="008B580E">
        <w:rPr>
          <w:rFonts w:ascii="Times New Roman" w:eastAsia="Times New Roman" w:hAnsi="Times New Roman" w:cs="Times New Roman"/>
          <w:spacing w:val="5"/>
        </w:rPr>
        <w:t>y</w:t>
      </w:r>
      <w:r w:rsidRPr="008B580E">
        <w:rPr>
          <w:rFonts w:ascii="Times New Roman" w:eastAsia="Times New Roman" w:hAnsi="Times New Roman" w:cs="Times New Roman"/>
          <w:spacing w:val="-2"/>
        </w:rPr>
        <w:t>i</w:t>
      </w:r>
      <w:r w:rsidRPr="008B580E">
        <w:rPr>
          <w:rFonts w:ascii="Times New Roman" w:eastAsia="Times New Roman" w:hAnsi="Times New Roman" w:cs="Times New Roman"/>
        </w:rPr>
        <w:t xml:space="preserve">ng </w:t>
      </w:r>
      <w:r w:rsidRPr="008B580E">
        <w:rPr>
          <w:rFonts w:ascii="Times New Roman" w:eastAsia="Times New Roman" w:hAnsi="Times New Roman" w:cs="Times New Roman"/>
          <w:spacing w:val="1"/>
        </w:rPr>
        <w:t>s</w:t>
      </w:r>
      <w:r w:rsidRPr="008B580E">
        <w:rPr>
          <w:rFonts w:ascii="Times New Roman" w:eastAsia="Times New Roman" w:hAnsi="Times New Roman" w:cs="Times New Roman"/>
          <w:spacing w:val="-2"/>
        </w:rPr>
        <w:t>i</w:t>
      </w:r>
      <w:r w:rsidRPr="008B580E">
        <w:rPr>
          <w:rFonts w:ascii="Times New Roman" w:eastAsia="Times New Roman" w:hAnsi="Times New Roman" w:cs="Times New Roman"/>
        </w:rPr>
        <w:t>gns</w:t>
      </w:r>
      <w:r w:rsidRPr="008B580E">
        <w:rPr>
          <w:rFonts w:ascii="Times New Roman" w:eastAsia="Times New Roman" w:hAnsi="Times New Roman" w:cs="Times New Roman"/>
          <w:spacing w:val="1"/>
        </w:rPr>
        <w:t xml:space="preserve"> </w:t>
      </w:r>
      <w:r w:rsidRPr="008B580E">
        <w:rPr>
          <w:rFonts w:ascii="Times New Roman" w:eastAsia="Times New Roman" w:hAnsi="Times New Roman" w:cs="Times New Roman"/>
          <w:spacing w:val="-2"/>
        </w:rPr>
        <w:t>a</w:t>
      </w:r>
      <w:r w:rsidRPr="008B580E">
        <w:rPr>
          <w:rFonts w:ascii="Times New Roman" w:eastAsia="Times New Roman" w:hAnsi="Times New Roman" w:cs="Times New Roman"/>
        </w:rPr>
        <w:t xml:space="preserve">nd </w:t>
      </w:r>
      <w:r w:rsidRPr="008B580E">
        <w:rPr>
          <w:rFonts w:ascii="Times New Roman" w:eastAsia="Times New Roman" w:hAnsi="Times New Roman" w:cs="Times New Roman"/>
          <w:spacing w:val="1"/>
        </w:rPr>
        <w:t>s</w:t>
      </w:r>
      <w:r w:rsidRPr="008B580E">
        <w:rPr>
          <w:rFonts w:ascii="Times New Roman" w:eastAsia="Times New Roman" w:hAnsi="Times New Roman" w:cs="Times New Roman"/>
        </w:rPr>
        <w:t>y</w:t>
      </w:r>
      <w:r w:rsidRPr="008B580E">
        <w:rPr>
          <w:rFonts w:ascii="Times New Roman" w:eastAsia="Times New Roman" w:hAnsi="Times New Roman" w:cs="Times New Roman"/>
          <w:spacing w:val="-2"/>
        </w:rPr>
        <w:t>m</w:t>
      </w:r>
      <w:r w:rsidRPr="008B580E">
        <w:rPr>
          <w:rFonts w:ascii="Times New Roman" w:eastAsia="Times New Roman" w:hAnsi="Times New Roman" w:cs="Times New Roman"/>
        </w:rPr>
        <w:t>p</w:t>
      </w:r>
      <w:r w:rsidRPr="008B580E">
        <w:rPr>
          <w:rFonts w:ascii="Times New Roman" w:eastAsia="Times New Roman" w:hAnsi="Times New Roman" w:cs="Times New Roman"/>
          <w:spacing w:val="-2"/>
        </w:rPr>
        <w:t>t</w:t>
      </w:r>
      <w:r w:rsidRPr="008B580E">
        <w:rPr>
          <w:rFonts w:ascii="Times New Roman" w:eastAsia="Times New Roman" w:hAnsi="Times New Roman" w:cs="Times New Roman"/>
        </w:rPr>
        <w:t>o</w:t>
      </w:r>
      <w:r w:rsidRPr="008B580E">
        <w:rPr>
          <w:rFonts w:ascii="Times New Roman" w:eastAsia="Times New Roman" w:hAnsi="Times New Roman" w:cs="Times New Roman"/>
          <w:spacing w:val="-2"/>
        </w:rPr>
        <w:t>m</w:t>
      </w:r>
      <w:r w:rsidRPr="008B580E">
        <w:rPr>
          <w:rFonts w:ascii="Times New Roman" w:eastAsia="Times New Roman" w:hAnsi="Times New Roman" w:cs="Times New Roman"/>
        </w:rPr>
        <w:t>s</w:t>
      </w:r>
      <w:r w:rsidRPr="008B580E">
        <w:rPr>
          <w:rFonts w:ascii="Times New Roman" w:eastAsia="Times New Roman" w:hAnsi="Times New Roman" w:cs="Times New Roman"/>
          <w:spacing w:val="1"/>
        </w:rPr>
        <w:t xml:space="preserve"> </w:t>
      </w:r>
      <w:r w:rsidRPr="008B580E">
        <w:rPr>
          <w:rFonts w:ascii="Times New Roman" w:eastAsia="Times New Roman" w:hAnsi="Times New Roman" w:cs="Times New Roman"/>
        </w:rPr>
        <w:t>of op</w:t>
      </w:r>
      <w:r w:rsidRPr="008B580E">
        <w:rPr>
          <w:rFonts w:ascii="Times New Roman" w:eastAsia="Times New Roman" w:hAnsi="Times New Roman" w:cs="Times New Roman"/>
          <w:spacing w:val="-2"/>
        </w:rPr>
        <w:t>i</w:t>
      </w:r>
      <w:r w:rsidRPr="008B580E">
        <w:rPr>
          <w:rFonts w:ascii="Times New Roman" w:eastAsia="Times New Roman" w:hAnsi="Times New Roman" w:cs="Times New Roman"/>
          <w:spacing w:val="5"/>
        </w:rPr>
        <w:t>o</w:t>
      </w:r>
      <w:r w:rsidRPr="008B580E">
        <w:rPr>
          <w:rFonts w:ascii="Times New Roman" w:eastAsia="Times New Roman" w:hAnsi="Times New Roman" w:cs="Times New Roman"/>
          <w:spacing w:val="-2"/>
        </w:rPr>
        <w:t>i</w:t>
      </w:r>
      <w:r w:rsidRPr="008B580E">
        <w:rPr>
          <w:rFonts w:ascii="Times New Roman" w:eastAsia="Times New Roman" w:hAnsi="Times New Roman" w:cs="Times New Roman"/>
        </w:rPr>
        <w:t>d ov</w:t>
      </w:r>
      <w:r w:rsidRPr="008B580E">
        <w:rPr>
          <w:rFonts w:ascii="Times New Roman" w:eastAsia="Times New Roman" w:hAnsi="Times New Roman" w:cs="Times New Roman"/>
          <w:spacing w:val="-2"/>
        </w:rPr>
        <w:t>e</w:t>
      </w:r>
      <w:r w:rsidRPr="008B580E">
        <w:rPr>
          <w:rFonts w:ascii="Times New Roman" w:eastAsia="Times New Roman" w:hAnsi="Times New Roman" w:cs="Times New Roman"/>
        </w:rPr>
        <w:t>rdo</w:t>
      </w:r>
      <w:r w:rsidRPr="008B580E">
        <w:rPr>
          <w:rFonts w:ascii="Times New Roman" w:eastAsia="Times New Roman" w:hAnsi="Times New Roman" w:cs="Times New Roman"/>
          <w:spacing w:val="1"/>
        </w:rPr>
        <w:t>s</w:t>
      </w:r>
      <w:r w:rsidRPr="008B580E">
        <w:rPr>
          <w:rFonts w:ascii="Times New Roman" w:eastAsia="Times New Roman" w:hAnsi="Times New Roman" w:cs="Times New Roman"/>
          <w:spacing w:val="-2"/>
        </w:rPr>
        <w:t>e</w:t>
      </w:r>
      <w:r w:rsidRPr="008B580E">
        <w:rPr>
          <w:rFonts w:ascii="Times New Roman" w:eastAsia="Times New Roman" w:hAnsi="Times New Roman" w:cs="Times New Roman"/>
        </w:rPr>
        <w:t>, prov</w:t>
      </w:r>
      <w:r w:rsidRPr="008B580E">
        <w:rPr>
          <w:rFonts w:ascii="Times New Roman" w:eastAsia="Times New Roman" w:hAnsi="Times New Roman" w:cs="Times New Roman"/>
          <w:spacing w:val="-2"/>
        </w:rPr>
        <w:t>i</w:t>
      </w:r>
      <w:r w:rsidRPr="008B580E">
        <w:rPr>
          <w:rFonts w:ascii="Times New Roman" w:eastAsia="Times New Roman" w:hAnsi="Times New Roman" w:cs="Times New Roman"/>
        </w:rPr>
        <w:t>d</w:t>
      </w:r>
      <w:r w:rsidRPr="008B580E">
        <w:rPr>
          <w:rFonts w:ascii="Times New Roman" w:eastAsia="Times New Roman" w:hAnsi="Times New Roman" w:cs="Times New Roman"/>
          <w:spacing w:val="-2"/>
        </w:rPr>
        <w:t>i</w:t>
      </w:r>
      <w:r w:rsidRPr="008B580E">
        <w:rPr>
          <w:rFonts w:ascii="Times New Roman" w:eastAsia="Times New Roman" w:hAnsi="Times New Roman" w:cs="Times New Roman"/>
        </w:rPr>
        <w:t>ng</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rPr>
        <w:t>n</w:t>
      </w:r>
      <w:r w:rsidRPr="008B580E">
        <w:rPr>
          <w:rFonts w:ascii="Times New Roman" w:eastAsia="Times New Roman" w:hAnsi="Times New Roman" w:cs="Times New Roman"/>
          <w:spacing w:val="3"/>
        </w:rPr>
        <w:t>a</w:t>
      </w:r>
      <w:r w:rsidRPr="008B580E">
        <w:rPr>
          <w:rFonts w:ascii="Times New Roman" w:eastAsia="Times New Roman" w:hAnsi="Times New Roman" w:cs="Times New Roman"/>
          <w:spacing w:val="-2"/>
        </w:rPr>
        <w:t>l</w:t>
      </w:r>
      <w:r w:rsidRPr="008B580E">
        <w:rPr>
          <w:rFonts w:ascii="Times New Roman" w:eastAsia="Times New Roman" w:hAnsi="Times New Roman" w:cs="Times New Roman"/>
        </w:rPr>
        <w:t>oxone</w:t>
      </w:r>
      <w:r w:rsidRPr="008B580E">
        <w:rPr>
          <w:rFonts w:ascii="Times New Roman" w:eastAsia="Times New Roman" w:hAnsi="Times New Roman" w:cs="Times New Roman"/>
          <w:spacing w:val="-2"/>
        </w:rPr>
        <w:t xml:space="preserve"> c</w:t>
      </w:r>
      <w:r w:rsidRPr="008B580E">
        <w:rPr>
          <w:rFonts w:ascii="Times New Roman" w:eastAsia="Times New Roman" w:hAnsi="Times New Roman" w:cs="Times New Roman"/>
        </w:rPr>
        <w:t>oun</w:t>
      </w:r>
      <w:r w:rsidRPr="008B580E">
        <w:rPr>
          <w:rFonts w:ascii="Times New Roman" w:eastAsia="Times New Roman" w:hAnsi="Times New Roman" w:cs="Times New Roman"/>
          <w:spacing w:val="1"/>
        </w:rPr>
        <w:t>s</w:t>
      </w:r>
      <w:r w:rsidRPr="008B580E">
        <w:rPr>
          <w:rFonts w:ascii="Times New Roman" w:eastAsia="Times New Roman" w:hAnsi="Times New Roman" w:cs="Times New Roman"/>
          <w:spacing w:val="3"/>
        </w:rPr>
        <w:t>e</w:t>
      </w:r>
      <w:r w:rsidRPr="008B580E">
        <w:rPr>
          <w:rFonts w:ascii="Times New Roman" w:eastAsia="Times New Roman" w:hAnsi="Times New Roman" w:cs="Times New Roman"/>
          <w:spacing w:val="-2"/>
        </w:rPr>
        <w:t>li</w:t>
      </w:r>
      <w:r w:rsidRPr="008B580E">
        <w:rPr>
          <w:rFonts w:ascii="Times New Roman" w:eastAsia="Times New Roman" w:hAnsi="Times New Roman" w:cs="Times New Roman"/>
        </w:rPr>
        <w:t>ng</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spacing w:val="-2"/>
        </w:rPr>
        <w:t>t</w:t>
      </w:r>
      <w:r w:rsidRPr="008B580E">
        <w:rPr>
          <w:rFonts w:ascii="Times New Roman" w:eastAsia="Times New Roman" w:hAnsi="Times New Roman" w:cs="Times New Roman"/>
        </w:rPr>
        <w:t>o a</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spacing w:val="5"/>
        </w:rPr>
        <w:t>p</w:t>
      </w:r>
      <w:r w:rsidRPr="008B580E">
        <w:rPr>
          <w:rFonts w:ascii="Times New Roman" w:eastAsia="Times New Roman" w:hAnsi="Times New Roman" w:cs="Times New Roman"/>
          <w:spacing w:val="-2"/>
        </w:rPr>
        <w:t>at</w:t>
      </w:r>
      <w:r w:rsidRPr="008B580E">
        <w:rPr>
          <w:rFonts w:ascii="Times New Roman" w:eastAsia="Times New Roman" w:hAnsi="Times New Roman" w:cs="Times New Roman"/>
          <w:spacing w:val="3"/>
        </w:rPr>
        <w:t>i</w:t>
      </w:r>
      <w:r w:rsidRPr="008B580E">
        <w:rPr>
          <w:rFonts w:ascii="Times New Roman" w:eastAsia="Times New Roman" w:hAnsi="Times New Roman" w:cs="Times New Roman"/>
          <w:spacing w:val="-2"/>
        </w:rPr>
        <w:t>e</w:t>
      </w:r>
      <w:r w:rsidRPr="008B580E">
        <w:rPr>
          <w:rFonts w:ascii="Times New Roman" w:eastAsia="Times New Roman" w:hAnsi="Times New Roman" w:cs="Times New Roman"/>
        </w:rPr>
        <w:t>n</w:t>
      </w:r>
      <w:r w:rsidRPr="008B580E">
        <w:rPr>
          <w:rFonts w:ascii="Times New Roman" w:eastAsia="Times New Roman" w:hAnsi="Times New Roman" w:cs="Times New Roman"/>
          <w:spacing w:val="3"/>
        </w:rPr>
        <w:t>t</w:t>
      </w:r>
      <w:r w:rsidRPr="008B580E">
        <w:rPr>
          <w:rFonts w:ascii="Times New Roman" w:eastAsia="Times New Roman" w:hAnsi="Times New Roman" w:cs="Times New Roman"/>
        </w:rPr>
        <w:t xml:space="preserve">, </w:t>
      </w:r>
      <w:r w:rsidRPr="008B580E">
        <w:rPr>
          <w:rFonts w:ascii="Times New Roman" w:eastAsia="Times New Roman" w:hAnsi="Times New Roman" w:cs="Times New Roman"/>
          <w:spacing w:val="-2"/>
        </w:rPr>
        <w:t>a</w:t>
      </w:r>
      <w:r w:rsidRPr="008B580E">
        <w:rPr>
          <w:rFonts w:ascii="Times New Roman" w:eastAsia="Times New Roman" w:hAnsi="Times New Roman" w:cs="Times New Roman"/>
        </w:rPr>
        <w:t xml:space="preserve">nd </w:t>
      </w:r>
      <w:r w:rsidRPr="008B580E">
        <w:rPr>
          <w:rFonts w:ascii="Times New Roman" w:eastAsia="Times New Roman" w:hAnsi="Times New Roman" w:cs="Times New Roman"/>
          <w:spacing w:val="-2"/>
        </w:rPr>
        <w:t>a</w:t>
      </w:r>
      <w:r w:rsidRPr="008B580E">
        <w:rPr>
          <w:rFonts w:ascii="Times New Roman" w:eastAsia="Times New Roman" w:hAnsi="Times New Roman" w:cs="Times New Roman"/>
        </w:rPr>
        <w:t>b</w:t>
      </w:r>
      <w:r w:rsidRPr="008B580E">
        <w:rPr>
          <w:rFonts w:ascii="Times New Roman" w:eastAsia="Times New Roman" w:hAnsi="Times New Roman" w:cs="Times New Roman"/>
          <w:spacing w:val="-2"/>
        </w:rPr>
        <w:t>i</w:t>
      </w:r>
      <w:r w:rsidRPr="008B580E">
        <w:rPr>
          <w:rFonts w:ascii="Times New Roman" w:eastAsia="Times New Roman" w:hAnsi="Times New Roman" w:cs="Times New Roman"/>
          <w:spacing w:val="3"/>
        </w:rPr>
        <w:t>l</w:t>
      </w:r>
      <w:r w:rsidRPr="008B580E">
        <w:rPr>
          <w:rFonts w:ascii="Times New Roman" w:eastAsia="Times New Roman" w:hAnsi="Times New Roman" w:cs="Times New Roman"/>
          <w:spacing w:val="-2"/>
        </w:rPr>
        <w:t>it</w:t>
      </w:r>
      <w:r w:rsidRPr="008B580E">
        <w:rPr>
          <w:rFonts w:ascii="Times New Roman" w:eastAsia="Times New Roman" w:hAnsi="Times New Roman" w:cs="Times New Roman"/>
        </w:rPr>
        <w:t xml:space="preserve">y </w:t>
      </w:r>
      <w:r w:rsidRPr="008B580E">
        <w:rPr>
          <w:rFonts w:ascii="Times New Roman" w:eastAsia="Times New Roman" w:hAnsi="Times New Roman" w:cs="Times New Roman"/>
          <w:spacing w:val="-2"/>
        </w:rPr>
        <w:t>t</w:t>
      </w:r>
      <w:r w:rsidRPr="008B580E">
        <w:rPr>
          <w:rFonts w:ascii="Times New Roman" w:eastAsia="Times New Roman" w:hAnsi="Times New Roman" w:cs="Times New Roman"/>
        </w:rPr>
        <w:t xml:space="preserve">o </w:t>
      </w:r>
      <w:r w:rsidRPr="008B580E">
        <w:rPr>
          <w:rFonts w:ascii="Times New Roman" w:eastAsia="Times New Roman" w:hAnsi="Times New Roman" w:cs="Times New Roman"/>
          <w:spacing w:val="5"/>
        </w:rPr>
        <w:t>g</w:t>
      </w:r>
      <w:r w:rsidRPr="008B580E">
        <w:rPr>
          <w:rFonts w:ascii="Times New Roman" w:eastAsia="Times New Roman" w:hAnsi="Times New Roman" w:cs="Times New Roman"/>
          <w:spacing w:val="-2"/>
        </w:rPr>
        <w:t>i</w:t>
      </w:r>
      <w:r w:rsidRPr="008B580E">
        <w:rPr>
          <w:rFonts w:ascii="Times New Roman" w:eastAsia="Times New Roman" w:hAnsi="Times New Roman" w:cs="Times New Roman"/>
        </w:rPr>
        <w:t>ve</w:t>
      </w:r>
      <w:r w:rsidRPr="008B580E">
        <w:rPr>
          <w:rFonts w:ascii="Times New Roman" w:eastAsia="Times New Roman" w:hAnsi="Times New Roman" w:cs="Times New Roman"/>
          <w:spacing w:val="-2"/>
        </w:rPr>
        <w:t xml:space="preserve"> i</w:t>
      </w:r>
      <w:r w:rsidRPr="008B580E">
        <w:rPr>
          <w:rFonts w:ascii="Times New Roman" w:eastAsia="Times New Roman" w:hAnsi="Times New Roman" w:cs="Times New Roman"/>
          <w:spacing w:val="5"/>
        </w:rPr>
        <w:t>n</w:t>
      </w:r>
      <w:r w:rsidRPr="008B580E">
        <w:rPr>
          <w:rFonts w:ascii="Times New Roman" w:eastAsia="Times New Roman" w:hAnsi="Times New Roman" w:cs="Times New Roman"/>
          <w:spacing w:val="-2"/>
        </w:rPr>
        <w:t>t</w:t>
      </w:r>
      <w:r w:rsidRPr="008B580E">
        <w:rPr>
          <w:rFonts w:ascii="Times New Roman" w:eastAsia="Times New Roman" w:hAnsi="Times New Roman" w:cs="Times New Roman"/>
        </w:rPr>
        <w:t>r</w:t>
      </w:r>
      <w:r w:rsidRPr="008B580E">
        <w:rPr>
          <w:rFonts w:ascii="Times New Roman" w:eastAsia="Times New Roman" w:hAnsi="Times New Roman" w:cs="Times New Roman"/>
          <w:spacing w:val="-1"/>
        </w:rPr>
        <w:t>a</w:t>
      </w:r>
      <w:r w:rsidRPr="008B580E">
        <w:rPr>
          <w:rFonts w:ascii="Times New Roman" w:eastAsia="Times New Roman" w:hAnsi="Times New Roman" w:cs="Times New Roman"/>
        </w:rPr>
        <w:t>n</w:t>
      </w:r>
      <w:r w:rsidRPr="008B580E">
        <w:rPr>
          <w:rFonts w:ascii="Times New Roman" w:eastAsia="Times New Roman" w:hAnsi="Times New Roman" w:cs="Times New Roman"/>
          <w:spacing w:val="-2"/>
        </w:rPr>
        <w:t>a</w:t>
      </w:r>
      <w:r w:rsidRPr="008B580E">
        <w:rPr>
          <w:rFonts w:ascii="Times New Roman" w:eastAsia="Times New Roman" w:hAnsi="Times New Roman" w:cs="Times New Roman"/>
          <w:spacing w:val="1"/>
        </w:rPr>
        <w:t>s</w:t>
      </w:r>
      <w:r w:rsidRPr="008B580E">
        <w:rPr>
          <w:rFonts w:ascii="Times New Roman" w:eastAsia="Times New Roman" w:hAnsi="Times New Roman" w:cs="Times New Roman"/>
          <w:spacing w:val="3"/>
        </w:rPr>
        <w:t>a</w:t>
      </w:r>
      <w:r w:rsidRPr="008B580E">
        <w:rPr>
          <w:rFonts w:ascii="Times New Roman" w:eastAsia="Times New Roman" w:hAnsi="Times New Roman" w:cs="Times New Roman"/>
        </w:rPr>
        <w:t>l</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rPr>
        <w:t>n</w:t>
      </w:r>
      <w:r w:rsidRPr="008B580E">
        <w:rPr>
          <w:rFonts w:ascii="Times New Roman" w:eastAsia="Times New Roman" w:hAnsi="Times New Roman" w:cs="Times New Roman"/>
          <w:spacing w:val="-2"/>
        </w:rPr>
        <w:t>al</w:t>
      </w:r>
      <w:r w:rsidRPr="008B580E">
        <w:rPr>
          <w:rFonts w:ascii="Times New Roman" w:eastAsia="Times New Roman" w:hAnsi="Times New Roman" w:cs="Times New Roman"/>
        </w:rPr>
        <w:t>oxone</w:t>
      </w:r>
      <w:r w:rsidRPr="008B580E">
        <w:rPr>
          <w:rFonts w:ascii="Times New Roman" w:eastAsia="Times New Roman" w:hAnsi="Times New Roman" w:cs="Times New Roman"/>
          <w:spacing w:val="3"/>
        </w:rPr>
        <w:t xml:space="preserve"> </w:t>
      </w:r>
      <w:r w:rsidRPr="008B580E">
        <w:rPr>
          <w:rFonts w:ascii="Times New Roman" w:eastAsia="Times New Roman" w:hAnsi="Times New Roman" w:cs="Times New Roman"/>
          <w:spacing w:val="-2"/>
        </w:rPr>
        <w:t>t</w:t>
      </w:r>
      <w:r w:rsidRPr="008B580E">
        <w:rPr>
          <w:rFonts w:ascii="Times New Roman" w:eastAsia="Times New Roman" w:hAnsi="Times New Roman" w:cs="Times New Roman"/>
        </w:rPr>
        <w:t xml:space="preserve">o </w:t>
      </w:r>
      <w:r w:rsidRPr="008B580E">
        <w:rPr>
          <w:rFonts w:ascii="Times New Roman" w:eastAsia="Times New Roman" w:hAnsi="Times New Roman" w:cs="Times New Roman"/>
          <w:spacing w:val="1"/>
        </w:rPr>
        <w:t>s</w:t>
      </w:r>
      <w:r w:rsidRPr="008B580E">
        <w:rPr>
          <w:rFonts w:ascii="Times New Roman" w:eastAsia="Times New Roman" w:hAnsi="Times New Roman" w:cs="Times New Roman"/>
        </w:rPr>
        <w:t>o</w:t>
      </w:r>
      <w:r w:rsidRPr="008B580E">
        <w:rPr>
          <w:rFonts w:ascii="Times New Roman" w:eastAsia="Times New Roman" w:hAnsi="Times New Roman" w:cs="Times New Roman"/>
          <w:spacing w:val="-1"/>
        </w:rPr>
        <w:t>m</w:t>
      </w:r>
      <w:r w:rsidRPr="008B580E">
        <w:rPr>
          <w:rFonts w:ascii="Times New Roman" w:eastAsia="Times New Roman" w:hAnsi="Times New Roman" w:cs="Times New Roman"/>
          <w:spacing w:val="-2"/>
        </w:rPr>
        <w:t>e</w:t>
      </w:r>
      <w:r w:rsidRPr="008B580E">
        <w:rPr>
          <w:rFonts w:ascii="Times New Roman" w:eastAsia="Times New Roman" w:hAnsi="Times New Roman" w:cs="Times New Roman"/>
        </w:rPr>
        <w:t>one</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rPr>
        <w:t>u</w:t>
      </w:r>
      <w:r w:rsidRPr="008B580E">
        <w:rPr>
          <w:rFonts w:ascii="Times New Roman" w:eastAsia="Times New Roman" w:hAnsi="Times New Roman" w:cs="Times New Roman"/>
          <w:spacing w:val="1"/>
        </w:rPr>
        <w:t>s</w:t>
      </w:r>
      <w:r w:rsidRPr="008B580E">
        <w:rPr>
          <w:rFonts w:ascii="Times New Roman" w:eastAsia="Times New Roman" w:hAnsi="Times New Roman" w:cs="Times New Roman"/>
          <w:spacing w:val="-2"/>
        </w:rPr>
        <w:t>i</w:t>
      </w:r>
      <w:r w:rsidRPr="008B580E">
        <w:rPr>
          <w:rFonts w:ascii="Times New Roman" w:eastAsia="Times New Roman" w:hAnsi="Times New Roman" w:cs="Times New Roman"/>
        </w:rPr>
        <w:t>ng a</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spacing w:val="1"/>
        </w:rPr>
        <w:t>5</w:t>
      </w:r>
      <w:r w:rsidRPr="008B580E">
        <w:rPr>
          <w:rFonts w:ascii="Times New Roman" w:eastAsia="Times New Roman" w:hAnsi="Times New Roman" w:cs="Times New Roman"/>
        </w:rPr>
        <w:t>-po</w:t>
      </w:r>
      <w:r w:rsidRPr="008B580E">
        <w:rPr>
          <w:rFonts w:ascii="Times New Roman" w:eastAsia="Times New Roman" w:hAnsi="Times New Roman" w:cs="Times New Roman"/>
          <w:spacing w:val="-2"/>
        </w:rPr>
        <w:t>i</w:t>
      </w:r>
      <w:r w:rsidRPr="008B580E">
        <w:rPr>
          <w:rFonts w:ascii="Times New Roman" w:eastAsia="Times New Roman" w:hAnsi="Times New Roman" w:cs="Times New Roman"/>
          <w:spacing w:val="5"/>
        </w:rPr>
        <w:t>n</w:t>
      </w:r>
      <w:r w:rsidRPr="008B580E">
        <w:rPr>
          <w:rFonts w:ascii="Times New Roman" w:eastAsia="Times New Roman" w:hAnsi="Times New Roman" w:cs="Times New Roman"/>
        </w:rPr>
        <w:t>t</w:t>
      </w:r>
      <w:r w:rsidRPr="008B580E">
        <w:rPr>
          <w:rFonts w:ascii="Times New Roman" w:eastAsia="Times New Roman" w:hAnsi="Times New Roman" w:cs="Times New Roman"/>
          <w:spacing w:val="-2"/>
        </w:rPr>
        <w:t xml:space="preserve"> Li</w:t>
      </w:r>
      <w:r w:rsidRPr="008B580E">
        <w:rPr>
          <w:rFonts w:ascii="Times New Roman" w:eastAsia="Times New Roman" w:hAnsi="Times New Roman" w:cs="Times New Roman"/>
          <w:spacing w:val="5"/>
        </w:rPr>
        <w:t>k</w:t>
      </w:r>
      <w:r w:rsidRPr="008B580E">
        <w:rPr>
          <w:rFonts w:ascii="Times New Roman" w:eastAsia="Times New Roman" w:hAnsi="Times New Roman" w:cs="Times New Roman"/>
          <w:spacing w:val="-2"/>
        </w:rPr>
        <w:t>e</w:t>
      </w:r>
      <w:r w:rsidRPr="008B580E">
        <w:rPr>
          <w:rFonts w:ascii="Times New Roman" w:eastAsia="Times New Roman" w:hAnsi="Times New Roman" w:cs="Times New Roman"/>
        </w:rPr>
        <w:t>rt</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spacing w:val="1"/>
        </w:rPr>
        <w:t>s</w:t>
      </w:r>
      <w:r w:rsidRPr="008B580E">
        <w:rPr>
          <w:rFonts w:ascii="Times New Roman" w:eastAsia="Times New Roman" w:hAnsi="Times New Roman" w:cs="Times New Roman"/>
          <w:spacing w:val="-2"/>
        </w:rPr>
        <w:t>c</w:t>
      </w:r>
      <w:r w:rsidRPr="008B580E">
        <w:rPr>
          <w:rFonts w:ascii="Times New Roman" w:eastAsia="Times New Roman" w:hAnsi="Times New Roman" w:cs="Times New Roman"/>
          <w:spacing w:val="3"/>
        </w:rPr>
        <w:t>a</w:t>
      </w:r>
      <w:r w:rsidRPr="008B580E">
        <w:rPr>
          <w:rFonts w:ascii="Times New Roman" w:eastAsia="Times New Roman" w:hAnsi="Times New Roman" w:cs="Times New Roman"/>
          <w:spacing w:val="-2"/>
        </w:rPr>
        <w:t>le</w:t>
      </w:r>
      <w:r w:rsidRPr="008B580E">
        <w:rPr>
          <w:rFonts w:ascii="Times New Roman" w:eastAsia="Times New Roman" w:hAnsi="Times New Roman" w:cs="Times New Roman"/>
        </w:rPr>
        <w:t xml:space="preserve">. </w:t>
      </w:r>
      <w:r w:rsidRPr="008B580E">
        <w:rPr>
          <w:rFonts w:ascii="Times New Roman" w:eastAsia="Times New Roman" w:hAnsi="Times New Roman" w:cs="Times New Roman"/>
          <w:spacing w:val="1"/>
        </w:rPr>
        <w:t>P</w:t>
      </w:r>
      <w:r w:rsidRPr="008B580E">
        <w:rPr>
          <w:rFonts w:ascii="Times New Roman" w:eastAsia="Times New Roman" w:hAnsi="Times New Roman" w:cs="Times New Roman"/>
          <w:spacing w:val="-2"/>
        </w:rPr>
        <w:t>at</w:t>
      </w:r>
      <w:r w:rsidRPr="008B580E">
        <w:rPr>
          <w:rFonts w:ascii="Times New Roman" w:eastAsia="Times New Roman" w:hAnsi="Times New Roman" w:cs="Times New Roman"/>
          <w:spacing w:val="3"/>
        </w:rPr>
        <w:t>i</w:t>
      </w:r>
      <w:r w:rsidRPr="008B580E">
        <w:rPr>
          <w:rFonts w:ascii="Times New Roman" w:eastAsia="Times New Roman" w:hAnsi="Times New Roman" w:cs="Times New Roman"/>
          <w:spacing w:val="-2"/>
        </w:rPr>
        <w:t>e</w:t>
      </w:r>
      <w:r w:rsidRPr="008B580E">
        <w:rPr>
          <w:rFonts w:ascii="Times New Roman" w:eastAsia="Times New Roman" w:hAnsi="Times New Roman" w:cs="Times New Roman"/>
        </w:rPr>
        <w:t>n</w:t>
      </w:r>
      <w:r w:rsidRPr="008B580E">
        <w:rPr>
          <w:rFonts w:ascii="Times New Roman" w:eastAsia="Times New Roman" w:hAnsi="Times New Roman" w:cs="Times New Roman"/>
          <w:spacing w:val="-2"/>
        </w:rPr>
        <w:t>t</w:t>
      </w:r>
      <w:r w:rsidRPr="008B580E">
        <w:rPr>
          <w:rFonts w:ascii="Times New Roman" w:eastAsia="Times New Roman" w:hAnsi="Times New Roman" w:cs="Times New Roman"/>
        </w:rPr>
        <w:t>s</w:t>
      </w:r>
      <w:r w:rsidRPr="008B580E">
        <w:rPr>
          <w:rFonts w:ascii="Times New Roman" w:eastAsia="Times New Roman" w:hAnsi="Times New Roman" w:cs="Times New Roman"/>
          <w:spacing w:val="1"/>
        </w:rPr>
        <w:t xml:space="preserve"> w</w:t>
      </w:r>
      <w:r w:rsidRPr="008B580E">
        <w:rPr>
          <w:rFonts w:ascii="Times New Roman" w:eastAsia="Times New Roman" w:hAnsi="Times New Roman" w:cs="Times New Roman"/>
        </w:rPr>
        <w:t xml:space="preserve">ho </w:t>
      </w:r>
      <w:r w:rsidRPr="008B580E">
        <w:rPr>
          <w:rFonts w:ascii="Times New Roman" w:eastAsia="Times New Roman" w:hAnsi="Times New Roman" w:cs="Times New Roman"/>
          <w:spacing w:val="-2"/>
        </w:rPr>
        <w:t>me</w:t>
      </w:r>
      <w:r w:rsidRPr="008B580E">
        <w:rPr>
          <w:rFonts w:ascii="Times New Roman" w:eastAsia="Times New Roman" w:hAnsi="Times New Roman" w:cs="Times New Roman"/>
        </w:rPr>
        <w:t>t</w:t>
      </w:r>
      <w:r w:rsidRPr="008B580E">
        <w:rPr>
          <w:rFonts w:ascii="Times New Roman" w:eastAsia="Times New Roman" w:hAnsi="Times New Roman" w:cs="Times New Roman"/>
          <w:spacing w:val="-2"/>
        </w:rPr>
        <w:t xml:space="preserve"> c</w:t>
      </w:r>
      <w:r w:rsidRPr="008B580E">
        <w:rPr>
          <w:rFonts w:ascii="Times New Roman" w:eastAsia="Times New Roman" w:hAnsi="Times New Roman" w:cs="Times New Roman"/>
          <w:spacing w:val="5"/>
        </w:rPr>
        <w:t>r</w:t>
      </w:r>
      <w:r w:rsidRPr="008B580E">
        <w:rPr>
          <w:rFonts w:ascii="Times New Roman" w:eastAsia="Times New Roman" w:hAnsi="Times New Roman" w:cs="Times New Roman"/>
          <w:spacing w:val="-2"/>
        </w:rPr>
        <w:t>ite</w:t>
      </w:r>
      <w:r w:rsidRPr="008B580E">
        <w:rPr>
          <w:rFonts w:ascii="Times New Roman" w:eastAsia="Times New Roman" w:hAnsi="Times New Roman" w:cs="Times New Roman"/>
          <w:spacing w:val="5"/>
        </w:rPr>
        <w:t>r</w:t>
      </w:r>
      <w:r w:rsidRPr="008B580E">
        <w:rPr>
          <w:rFonts w:ascii="Times New Roman" w:eastAsia="Times New Roman" w:hAnsi="Times New Roman" w:cs="Times New Roman"/>
          <w:spacing w:val="-2"/>
        </w:rPr>
        <w:t>i</w:t>
      </w:r>
      <w:r w:rsidRPr="008B580E">
        <w:rPr>
          <w:rFonts w:ascii="Times New Roman" w:eastAsia="Times New Roman" w:hAnsi="Times New Roman" w:cs="Times New Roman"/>
        </w:rPr>
        <w:t>a</w:t>
      </w:r>
      <w:r w:rsidRPr="008B580E">
        <w:rPr>
          <w:rFonts w:ascii="Times New Roman" w:eastAsia="Times New Roman" w:hAnsi="Times New Roman" w:cs="Times New Roman"/>
          <w:spacing w:val="-2"/>
        </w:rPr>
        <w:t xml:space="preserve"> t</w:t>
      </w:r>
      <w:r w:rsidRPr="008B580E">
        <w:rPr>
          <w:rFonts w:ascii="Times New Roman" w:eastAsia="Times New Roman" w:hAnsi="Times New Roman" w:cs="Times New Roman"/>
        </w:rPr>
        <w:t>o r</w:t>
      </w:r>
      <w:r w:rsidRPr="008B580E">
        <w:rPr>
          <w:rFonts w:ascii="Times New Roman" w:eastAsia="Times New Roman" w:hAnsi="Times New Roman" w:cs="Times New Roman"/>
          <w:spacing w:val="3"/>
        </w:rPr>
        <w:t>e</w:t>
      </w:r>
      <w:r w:rsidRPr="008B580E">
        <w:rPr>
          <w:rFonts w:ascii="Times New Roman" w:eastAsia="Times New Roman" w:hAnsi="Times New Roman" w:cs="Times New Roman"/>
          <w:spacing w:val="-2"/>
        </w:rPr>
        <w:t>cei</w:t>
      </w:r>
      <w:r w:rsidRPr="008B580E">
        <w:rPr>
          <w:rFonts w:ascii="Times New Roman" w:eastAsia="Times New Roman" w:hAnsi="Times New Roman" w:cs="Times New Roman"/>
          <w:spacing w:val="5"/>
        </w:rPr>
        <w:t>v</w:t>
      </w:r>
      <w:r w:rsidRPr="008B580E">
        <w:rPr>
          <w:rFonts w:ascii="Times New Roman" w:eastAsia="Times New Roman" w:hAnsi="Times New Roman" w:cs="Times New Roman"/>
        </w:rPr>
        <w:t>e</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rPr>
        <w:t>a</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rPr>
        <w:t>n</w:t>
      </w:r>
      <w:r w:rsidRPr="008B580E">
        <w:rPr>
          <w:rFonts w:ascii="Times New Roman" w:eastAsia="Times New Roman" w:hAnsi="Times New Roman" w:cs="Times New Roman"/>
          <w:spacing w:val="3"/>
        </w:rPr>
        <w:t>a</w:t>
      </w:r>
      <w:r w:rsidRPr="008B580E">
        <w:rPr>
          <w:rFonts w:ascii="Times New Roman" w:eastAsia="Times New Roman" w:hAnsi="Times New Roman" w:cs="Times New Roman"/>
          <w:spacing w:val="-2"/>
        </w:rPr>
        <w:t>l</w:t>
      </w:r>
      <w:r w:rsidRPr="008B580E">
        <w:rPr>
          <w:rFonts w:ascii="Times New Roman" w:eastAsia="Times New Roman" w:hAnsi="Times New Roman" w:cs="Times New Roman"/>
        </w:rPr>
        <w:t>oxone</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rPr>
        <w:t>k</w:t>
      </w:r>
      <w:r w:rsidRPr="008B580E">
        <w:rPr>
          <w:rFonts w:ascii="Times New Roman" w:eastAsia="Times New Roman" w:hAnsi="Times New Roman" w:cs="Times New Roman"/>
          <w:spacing w:val="3"/>
        </w:rPr>
        <w:t>i</w:t>
      </w:r>
      <w:r w:rsidRPr="008B580E">
        <w:rPr>
          <w:rFonts w:ascii="Times New Roman" w:eastAsia="Times New Roman" w:hAnsi="Times New Roman" w:cs="Times New Roman"/>
        </w:rPr>
        <w:t>t</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spacing w:val="1"/>
        </w:rPr>
        <w:t>s</w:t>
      </w:r>
      <w:r w:rsidRPr="008B580E">
        <w:rPr>
          <w:rFonts w:ascii="Times New Roman" w:eastAsia="Times New Roman" w:hAnsi="Times New Roman" w:cs="Times New Roman"/>
        </w:rPr>
        <w:t>u</w:t>
      </w:r>
      <w:r w:rsidRPr="008B580E">
        <w:rPr>
          <w:rFonts w:ascii="Times New Roman" w:eastAsia="Times New Roman" w:hAnsi="Times New Roman" w:cs="Times New Roman"/>
          <w:spacing w:val="-2"/>
        </w:rPr>
        <w:t>c</w:t>
      </w:r>
      <w:r w:rsidRPr="008B580E">
        <w:rPr>
          <w:rFonts w:ascii="Times New Roman" w:eastAsia="Times New Roman" w:hAnsi="Times New Roman" w:cs="Times New Roman"/>
        </w:rPr>
        <w:t xml:space="preserve">h </w:t>
      </w:r>
      <w:r w:rsidRPr="008B580E">
        <w:rPr>
          <w:rFonts w:ascii="Times New Roman" w:eastAsia="Times New Roman" w:hAnsi="Times New Roman" w:cs="Times New Roman"/>
          <w:spacing w:val="-2"/>
        </w:rPr>
        <w:t>a</w:t>
      </w:r>
      <w:r w:rsidRPr="008B580E">
        <w:rPr>
          <w:rFonts w:ascii="Times New Roman" w:eastAsia="Times New Roman" w:hAnsi="Times New Roman" w:cs="Times New Roman"/>
        </w:rPr>
        <w:t xml:space="preserve">s </w:t>
      </w:r>
      <w:r w:rsidRPr="008B580E">
        <w:rPr>
          <w:rFonts w:ascii="Times New Roman" w:eastAsia="Times New Roman" w:hAnsi="Times New Roman" w:cs="Times New Roman"/>
          <w:spacing w:val="1"/>
        </w:rPr>
        <w:t>O</w:t>
      </w:r>
      <w:r w:rsidRPr="008B580E">
        <w:rPr>
          <w:rFonts w:ascii="Times New Roman" w:eastAsia="Times New Roman" w:hAnsi="Times New Roman" w:cs="Times New Roman"/>
        </w:rPr>
        <w:t>RO</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spacing w:val="1"/>
        </w:rPr>
        <w:t>w</w:t>
      </w:r>
      <w:r w:rsidRPr="008B580E">
        <w:rPr>
          <w:rFonts w:ascii="Times New Roman" w:eastAsia="Times New Roman" w:hAnsi="Times New Roman" w:cs="Times New Roman"/>
          <w:spacing w:val="-2"/>
        </w:rPr>
        <w:t>e</w:t>
      </w:r>
      <w:r w:rsidRPr="008B580E">
        <w:rPr>
          <w:rFonts w:ascii="Times New Roman" w:eastAsia="Times New Roman" w:hAnsi="Times New Roman" w:cs="Times New Roman"/>
        </w:rPr>
        <w:t>re</w:t>
      </w:r>
      <w:r w:rsidRPr="008B580E">
        <w:rPr>
          <w:rFonts w:ascii="Times New Roman" w:eastAsia="Times New Roman" w:hAnsi="Times New Roman" w:cs="Times New Roman"/>
          <w:spacing w:val="-1"/>
        </w:rPr>
        <w:t xml:space="preserve"> </w:t>
      </w:r>
      <w:r w:rsidRPr="008B580E">
        <w:rPr>
          <w:rFonts w:ascii="Times New Roman" w:eastAsia="Times New Roman" w:hAnsi="Times New Roman" w:cs="Times New Roman"/>
        </w:rPr>
        <w:t>pr</w:t>
      </w:r>
      <w:r w:rsidRPr="008B580E">
        <w:rPr>
          <w:rFonts w:ascii="Times New Roman" w:eastAsia="Times New Roman" w:hAnsi="Times New Roman" w:cs="Times New Roman"/>
          <w:spacing w:val="-1"/>
        </w:rPr>
        <w:t>e</w:t>
      </w:r>
      <w:r w:rsidRPr="008B580E">
        <w:rPr>
          <w:rFonts w:ascii="Times New Roman" w:eastAsia="Times New Roman" w:hAnsi="Times New Roman" w:cs="Times New Roman"/>
          <w:spacing w:val="1"/>
        </w:rPr>
        <w:t>s</w:t>
      </w:r>
      <w:r w:rsidRPr="008B580E">
        <w:rPr>
          <w:rFonts w:ascii="Times New Roman" w:eastAsia="Times New Roman" w:hAnsi="Times New Roman" w:cs="Times New Roman"/>
          <w:spacing w:val="-2"/>
        </w:rPr>
        <w:t>c</w:t>
      </w:r>
      <w:r w:rsidRPr="008B580E">
        <w:rPr>
          <w:rFonts w:ascii="Times New Roman" w:eastAsia="Times New Roman" w:hAnsi="Times New Roman" w:cs="Times New Roman"/>
        </w:rPr>
        <w:t>r</w:t>
      </w:r>
      <w:r w:rsidRPr="008B580E">
        <w:rPr>
          <w:rFonts w:ascii="Times New Roman" w:eastAsia="Times New Roman" w:hAnsi="Times New Roman" w:cs="Times New Roman"/>
          <w:spacing w:val="-2"/>
        </w:rPr>
        <w:t>i</w:t>
      </w:r>
      <w:r w:rsidRPr="008B580E">
        <w:rPr>
          <w:rFonts w:ascii="Times New Roman" w:eastAsia="Times New Roman" w:hAnsi="Times New Roman" w:cs="Times New Roman"/>
        </w:rPr>
        <w:t>b</w:t>
      </w:r>
      <w:r w:rsidRPr="008B580E">
        <w:rPr>
          <w:rFonts w:ascii="Times New Roman" w:eastAsia="Times New Roman" w:hAnsi="Times New Roman" w:cs="Times New Roman"/>
          <w:spacing w:val="-2"/>
        </w:rPr>
        <w:t>e</w:t>
      </w:r>
      <w:r w:rsidRPr="008B580E">
        <w:rPr>
          <w:rFonts w:ascii="Times New Roman" w:eastAsia="Times New Roman" w:hAnsi="Times New Roman" w:cs="Times New Roman"/>
        </w:rPr>
        <w:t>d n</w:t>
      </w:r>
      <w:r w:rsidRPr="008B580E">
        <w:rPr>
          <w:rFonts w:ascii="Times New Roman" w:eastAsia="Times New Roman" w:hAnsi="Times New Roman" w:cs="Times New Roman"/>
          <w:spacing w:val="-2"/>
        </w:rPr>
        <w:t>al</w:t>
      </w:r>
      <w:r w:rsidRPr="008B580E">
        <w:rPr>
          <w:rFonts w:ascii="Times New Roman" w:eastAsia="Times New Roman" w:hAnsi="Times New Roman" w:cs="Times New Roman"/>
        </w:rPr>
        <w:t>oxone-</w:t>
      </w:r>
      <w:r w:rsidRPr="008B580E">
        <w:rPr>
          <w:rFonts w:ascii="Times New Roman" w:eastAsia="Times New Roman" w:hAnsi="Times New Roman" w:cs="Times New Roman"/>
          <w:spacing w:val="5"/>
        </w:rPr>
        <w:t>k</w:t>
      </w:r>
      <w:r w:rsidRPr="008B580E">
        <w:rPr>
          <w:rFonts w:ascii="Times New Roman" w:eastAsia="Times New Roman" w:hAnsi="Times New Roman" w:cs="Times New Roman"/>
          <w:spacing w:val="-2"/>
        </w:rPr>
        <w:t>it</w:t>
      </w:r>
      <w:r w:rsidRPr="008B580E">
        <w:rPr>
          <w:rFonts w:ascii="Times New Roman" w:eastAsia="Times New Roman" w:hAnsi="Times New Roman" w:cs="Times New Roman"/>
        </w:rPr>
        <w:t>s</w:t>
      </w:r>
      <w:r w:rsidRPr="008B580E">
        <w:rPr>
          <w:rFonts w:ascii="Times New Roman" w:eastAsia="Times New Roman" w:hAnsi="Times New Roman" w:cs="Times New Roman"/>
          <w:spacing w:val="1"/>
        </w:rPr>
        <w:t xml:space="preserve"> </w:t>
      </w:r>
      <w:r w:rsidRPr="008B580E">
        <w:rPr>
          <w:rFonts w:ascii="Times New Roman" w:eastAsia="Times New Roman" w:hAnsi="Times New Roman" w:cs="Times New Roman"/>
          <w:spacing w:val="-2"/>
        </w:rPr>
        <w:t>a</w:t>
      </w:r>
      <w:r w:rsidRPr="008B580E">
        <w:rPr>
          <w:rFonts w:ascii="Times New Roman" w:eastAsia="Times New Roman" w:hAnsi="Times New Roman" w:cs="Times New Roman"/>
        </w:rPr>
        <w:t>nd prov</w:t>
      </w:r>
      <w:r w:rsidRPr="008B580E">
        <w:rPr>
          <w:rFonts w:ascii="Times New Roman" w:eastAsia="Times New Roman" w:hAnsi="Times New Roman" w:cs="Times New Roman"/>
          <w:spacing w:val="-2"/>
        </w:rPr>
        <w:t>i</w:t>
      </w:r>
      <w:r w:rsidRPr="008B580E">
        <w:rPr>
          <w:rFonts w:ascii="Times New Roman" w:eastAsia="Times New Roman" w:hAnsi="Times New Roman" w:cs="Times New Roman"/>
          <w:spacing w:val="5"/>
        </w:rPr>
        <w:t>d</w:t>
      </w:r>
      <w:r w:rsidRPr="008B580E">
        <w:rPr>
          <w:rFonts w:ascii="Times New Roman" w:eastAsia="Times New Roman" w:hAnsi="Times New Roman" w:cs="Times New Roman"/>
          <w:spacing w:val="-2"/>
        </w:rPr>
        <w:t>e</w:t>
      </w:r>
      <w:r w:rsidRPr="008B580E">
        <w:rPr>
          <w:rFonts w:ascii="Times New Roman" w:eastAsia="Times New Roman" w:hAnsi="Times New Roman" w:cs="Times New Roman"/>
        </w:rPr>
        <w:t xml:space="preserve">d </w:t>
      </w:r>
      <w:r w:rsidRPr="008B580E">
        <w:rPr>
          <w:rFonts w:ascii="Times New Roman" w:eastAsia="Times New Roman" w:hAnsi="Times New Roman" w:cs="Times New Roman"/>
          <w:spacing w:val="-2"/>
        </w:rPr>
        <w:t>c</w:t>
      </w:r>
      <w:r w:rsidRPr="008B580E">
        <w:rPr>
          <w:rFonts w:ascii="Times New Roman" w:eastAsia="Times New Roman" w:hAnsi="Times New Roman" w:cs="Times New Roman"/>
          <w:spacing w:val="5"/>
        </w:rPr>
        <w:t>o</w:t>
      </w:r>
      <w:r w:rsidRPr="008B580E">
        <w:rPr>
          <w:rFonts w:ascii="Times New Roman" w:eastAsia="Times New Roman" w:hAnsi="Times New Roman" w:cs="Times New Roman"/>
        </w:rPr>
        <w:t>un</w:t>
      </w:r>
      <w:r w:rsidRPr="008B580E">
        <w:rPr>
          <w:rFonts w:ascii="Times New Roman" w:eastAsia="Times New Roman" w:hAnsi="Times New Roman" w:cs="Times New Roman"/>
          <w:spacing w:val="1"/>
        </w:rPr>
        <w:t>s</w:t>
      </w:r>
      <w:r w:rsidRPr="008B580E">
        <w:rPr>
          <w:rFonts w:ascii="Times New Roman" w:eastAsia="Times New Roman" w:hAnsi="Times New Roman" w:cs="Times New Roman"/>
          <w:spacing w:val="-2"/>
        </w:rPr>
        <w:t>eli</w:t>
      </w:r>
      <w:r w:rsidRPr="008B580E">
        <w:rPr>
          <w:rFonts w:ascii="Times New Roman" w:eastAsia="Times New Roman" w:hAnsi="Times New Roman" w:cs="Times New Roman"/>
        </w:rPr>
        <w:t xml:space="preserve">ng </w:t>
      </w:r>
      <w:r w:rsidRPr="008B580E">
        <w:rPr>
          <w:rFonts w:ascii="Times New Roman" w:eastAsia="Times New Roman" w:hAnsi="Times New Roman" w:cs="Times New Roman"/>
          <w:spacing w:val="-2"/>
        </w:rPr>
        <w:t>a</w:t>
      </w:r>
      <w:r w:rsidRPr="008B580E">
        <w:rPr>
          <w:rFonts w:ascii="Times New Roman" w:eastAsia="Times New Roman" w:hAnsi="Times New Roman" w:cs="Times New Roman"/>
        </w:rPr>
        <w:t>t</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spacing w:val="5"/>
        </w:rPr>
        <w:t>d</w:t>
      </w:r>
      <w:r w:rsidRPr="008B580E">
        <w:rPr>
          <w:rFonts w:ascii="Times New Roman" w:eastAsia="Times New Roman" w:hAnsi="Times New Roman" w:cs="Times New Roman"/>
          <w:spacing w:val="-2"/>
        </w:rPr>
        <w:t>i</w:t>
      </w:r>
      <w:r w:rsidRPr="008B580E">
        <w:rPr>
          <w:rFonts w:ascii="Times New Roman" w:eastAsia="Times New Roman" w:hAnsi="Times New Roman" w:cs="Times New Roman"/>
          <w:spacing w:val="1"/>
        </w:rPr>
        <w:t>s</w:t>
      </w:r>
      <w:r w:rsidRPr="008B580E">
        <w:rPr>
          <w:rFonts w:ascii="Times New Roman" w:eastAsia="Times New Roman" w:hAnsi="Times New Roman" w:cs="Times New Roman"/>
          <w:spacing w:val="-2"/>
        </w:rPr>
        <w:t>c</w:t>
      </w:r>
      <w:r w:rsidRPr="008B580E">
        <w:rPr>
          <w:rFonts w:ascii="Times New Roman" w:eastAsia="Times New Roman" w:hAnsi="Times New Roman" w:cs="Times New Roman"/>
        </w:rPr>
        <w:t>h</w:t>
      </w:r>
      <w:r w:rsidRPr="008B580E">
        <w:rPr>
          <w:rFonts w:ascii="Times New Roman" w:eastAsia="Times New Roman" w:hAnsi="Times New Roman" w:cs="Times New Roman"/>
          <w:spacing w:val="-2"/>
        </w:rPr>
        <w:t>a</w:t>
      </w:r>
      <w:r w:rsidRPr="008B580E">
        <w:rPr>
          <w:rFonts w:ascii="Times New Roman" w:eastAsia="Times New Roman" w:hAnsi="Times New Roman" w:cs="Times New Roman"/>
        </w:rPr>
        <w:t>rge</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rPr>
        <w:t>by p</w:t>
      </w:r>
      <w:r w:rsidRPr="008B580E">
        <w:rPr>
          <w:rFonts w:ascii="Times New Roman" w:eastAsia="Times New Roman" w:hAnsi="Times New Roman" w:cs="Times New Roman"/>
          <w:spacing w:val="5"/>
        </w:rPr>
        <w:t>h</w:t>
      </w:r>
      <w:r w:rsidRPr="008B580E">
        <w:rPr>
          <w:rFonts w:ascii="Times New Roman" w:eastAsia="Times New Roman" w:hAnsi="Times New Roman" w:cs="Times New Roman"/>
          <w:spacing w:val="-2"/>
        </w:rPr>
        <w:t>a</w:t>
      </w:r>
      <w:r w:rsidRPr="008B580E">
        <w:rPr>
          <w:rFonts w:ascii="Times New Roman" w:eastAsia="Times New Roman" w:hAnsi="Times New Roman" w:cs="Times New Roman"/>
        </w:rPr>
        <w:t>r</w:t>
      </w:r>
      <w:r w:rsidRPr="008B580E">
        <w:rPr>
          <w:rFonts w:ascii="Times New Roman" w:eastAsia="Times New Roman" w:hAnsi="Times New Roman" w:cs="Times New Roman"/>
          <w:spacing w:val="-2"/>
        </w:rPr>
        <w:t>ma</w:t>
      </w:r>
      <w:r w:rsidRPr="008B580E">
        <w:rPr>
          <w:rFonts w:ascii="Times New Roman" w:eastAsia="Times New Roman" w:hAnsi="Times New Roman" w:cs="Times New Roman"/>
          <w:spacing w:val="3"/>
        </w:rPr>
        <w:t>c</w:t>
      </w:r>
      <w:r w:rsidRPr="008B580E">
        <w:rPr>
          <w:rFonts w:ascii="Times New Roman" w:eastAsia="Times New Roman" w:hAnsi="Times New Roman" w:cs="Times New Roman"/>
          <w:spacing w:val="-2"/>
        </w:rPr>
        <w:t>i</w:t>
      </w:r>
      <w:r w:rsidRPr="008B580E">
        <w:rPr>
          <w:rFonts w:ascii="Times New Roman" w:eastAsia="Times New Roman" w:hAnsi="Times New Roman" w:cs="Times New Roman"/>
          <w:spacing w:val="1"/>
        </w:rPr>
        <w:t>s</w:t>
      </w:r>
      <w:r w:rsidRPr="008B580E">
        <w:rPr>
          <w:rFonts w:ascii="Times New Roman" w:eastAsia="Times New Roman" w:hAnsi="Times New Roman" w:cs="Times New Roman"/>
          <w:spacing w:val="-2"/>
        </w:rPr>
        <w:t>t</w:t>
      </w:r>
      <w:r w:rsidRPr="008B580E">
        <w:rPr>
          <w:rFonts w:ascii="Times New Roman" w:eastAsia="Times New Roman" w:hAnsi="Times New Roman" w:cs="Times New Roman"/>
          <w:spacing w:val="3"/>
        </w:rPr>
        <w:t>s</w:t>
      </w:r>
      <w:r w:rsidRPr="008B580E">
        <w:rPr>
          <w:rFonts w:ascii="Times New Roman" w:eastAsia="Times New Roman" w:hAnsi="Times New Roman" w:cs="Times New Roman"/>
        </w:rPr>
        <w:t>.</w:t>
      </w:r>
    </w:p>
    <w:p w14:paraId="01F7D085" w14:textId="77777777" w:rsidR="005B56E3" w:rsidRPr="008B580E" w:rsidRDefault="005B56E3" w:rsidP="005B56E3">
      <w:pPr>
        <w:spacing w:before="8" w:line="140" w:lineRule="exact"/>
      </w:pPr>
    </w:p>
    <w:p w14:paraId="1B072B47" w14:textId="77777777" w:rsidR="005B56E3" w:rsidRPr="008B580E" w:rsidRDefault="005B56E3" w:rsidP="005B56E3">
      <w:pPr>
        <w:spacing w:line="258" w:lineRule="auto"/>
        <w:ind w:left="101" w:right="66"/>
      </w:pPr>
      <w:r w:rsidRPr="008B580E">
        <w:rPr>
          <w:rFonts w:ascii="Times New Roman" w:eastAsia="Times New Roman" w:hAnsi="Times New Roman" w:cs="Times New Roman"/>
          <w:b/>
          <w:spacing w:val="1"/>
        </w:rPr>
        <w:t>R</w:t>
      </w:r>
      <w:r w:rsidRPr="008B580E">
        <w:rPr>
          <w:rFonts w:ascii="Times New Roman" w:eastAsia="Times New Roman" w:hAnsi="Times New Roman" w:cs="Times New Roman"/>
          <w:b/>
          <w:spacing w:val="-2"/>
        </w:rPr>
        <w:t>e</w:t>
      </w:r>
      <w:r w:rsidRPr="008B580E">
        <w:rPr>
          <w:rFonts w:ascii="Times New Roman" w:eastAsia="Times New Roman" w:hAnsi="Times New Roman" w:cs="Times New Roman"/>
          <w:b/>
          <w:spacing w:val="1"/>
        </w:rPr>
        <w:t>su</w:t>
      </w:r>
      <w:r w:rsidRPr="008B580E">
        <w:rPr>
          <w:rFonts w:ascii="Times New Roman" w:eastAsia="Times New Roman" w:hAnsi="Times New Roman" w:cs="Times New Roman"/>
          <w:b/>
          <w:spacing w:val="-2"/>
        </w:rPr>
        <w:t>l</w:t>
      </w:r>
      <w:r w:rsidRPr="008B580E">
        <w:rPr>
          <w:rFonts w:ascii="Times New Roman" w:eastAsia="Times New Roman" w:hAnsi="Times New Roman" w:cs="Times New Roman"/>
          <w:b/>
        </w:rPr>
        <w:t>t</w:t>
      </w:r>
      <w:r w:rsidRPr="008B580E">
        <w:rPr>
          <w:rFonts w:ascii="Times New Roman" w:eastAsia="Times New Roman" w:hAnsi="Times New Roman" w:cs="Times New Roman"/>
          <w:b/>
          <w:spacing w:val="1"/>
        </w:rPr>
        <w:t>s</w:t>
      </w:r>
      <w:r w:rsidRPr="008B580E">
        <w:rPr>
          <w:rFonts w:ascii="Times New Roman" w:eastAsia="Times New Roman" w:hAnsi="Times New Roman" w:cs="Times New Roman"/>
          <w:b/>
        </w:rPr>
        <w:t>:</w:t>
      </w:r>
      <w:r w:rsidRPr="008B580E">
        <w:rPr>
          <w:rFonts w:ascii="Times New Roman" w:eastAsia="Times New Roman" w:hAnsi="Times New Roman" w:cs="Times New Roman"/>
          <w:b/>
          <w:spacing w:val="2"/>
        </w:rPr>
        <w:t xml:space="preserve"> </w:t>
      </w:r>
      <w:r w:rsidRPr="008B580E">
        <w:rPr>
          <w:rFonts w:ascii="Times New Roman" w:eastAsia="Times New Roman" w:hAnsi="Times New Roman" w:cs="Times New Roman"/>
          <w:spacing w:val="1"/>
        </w:rPr>
        <w:t>M</w:t>
      </w:r>
      <w:r w:rsidRPr="008B580E">
        <w:rPr>
          <w:rFonts w:ascii="Times New Roman" w:eastAsia="Times New Roman" w:hAnsi="Times New Roman" w:cs="Times New Roman"/>
        </w:rPr>
        <w:t>ore</w:t>
      </w:r>
      <w:r w:rsidRPr="008B580E">
        <w:rPr>
          <w:rFonts w:ascii="Times New Roman" w:eastAsia="Times New Roman" w:hAnsi="Times New Roman" w:cs="Times New Roman"/>
          <w:spacing w:val="-1"/>
        </w:rPr>
        <w:t xml:space="preserve"> </w:t>
      </w:r>
      <w:r w:rsidRPr="008B580E">
        <w:rPr>
          <w:rFonts w:ascii="Times New Roman" w:eastAsia="Times New Roman" w:hAnsi="Times New Roman" w:cs="Times New Roman"/>
          <w:spacing w:val="-2"/>
        </w:rPr>
        <w:t>t</w:t>
      </w:r>
      <w:r w:rsidRPr="008B580E">
        <w:rPr>
          <w:rFonts w:ascii="Times New Roman" w:eastAsia="Times New Roman" w:hAnsi="Times New Roman" w:cs="Times New Roman"/>
        </w:rPr>
        <w:t>h</w:t>
      </w:r>
      <w:r w:rsidRPr="008B580E">
        <w:rPr>
          <w:rFonts w:ascii="Times New Roman" w:eastAsia="Times New Roman" w:hAnsi="Times New Roman" w:cs="Times New Roman"/>
          <w:spacing w:val="-2"/>
        </w:rPr>
        <w:t>a</w:t>
      </w:r>
      <w:r w:rsidRPr="008B580E">
        <w:rPr>
          <w:rFonts w:ascii="Times New Roman" w:eastAsia="Times New Roman" w:hAnsi="Times New Roman" w:cs="Times New Roman"/>
        </w:rPr>
        <w:t>n h</w:t>
      </w:r>
      <w:r w:rsidRPr="008B580E">
        <w:rPr>
          <w:rFonts w:ascii="Times New Roman" w:eastAsia="Times New Roman" w:hAnsi="Times New Roman" w:cs="Times New Roman"/>
          <w:spacing w:val="-2"/>
        </w:rPr>
        <w:t>al</w:t>
      </w:r>
      <w:r w:rsidRPr="008B580E">
        <w:rPr>
          <w:rFonts w:ascii="Times New Roman" w:eastAsia="Times New Roman" w:hAnsi="Times New Roman" w:cs="Times New Roman"/>
        </w:rPr>
        <w:t xml:space="preserve">f of </w:t>
      </w:r>
      <w:r w:rsidRPr="008B580E">
        <w:rPr>
          <w:rFonts w:ascii="Times New Roman" w:eastAsia="Times New Roman" w:hAnsi="Times New Roman" w:cs="Times New Roman"/>
          <w:spacing w:val="-1"/>
        </w:rPr>
        <w:t>t</w:t>
      </w:r>
      <w:r w:rsidRPr="008B580E">
        <w:rPr>
          <w:rFonts w:ascii="Times New Roman" w:eastAsia="Times New Roman" w:hAnsi="Times New Roman" w:cs="Times New Roman"/>
        </w:rPr>
        <w:t>he</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rPr>
        <w:t>ph</w:t>
      </w:r>
      <w:r w:rsidRPr="008B580E">
        <w:rPr>
          <w:rFonts w:ascii="Times New Roman" w:eastAsia="Times New Roman" w:hAnsi="Times New Roman" w:cs="Times New Roman"/>
          <w:spacing w:val="-2"/>
        </w:rPr>
        <w:t>a</w:t>
      </w:r>
      <w:r w:rsidRPr="008B580E">
        <w:rPr>
          <w:rFonts w:ascii="Times New Roman" w:eastAsia="Times New Roman" w:hAnsi="Times New Roman" w:cs="Times New Roman"/>
          <w:spacing w:val="5"/>
        </w:rPr>
        <w:t>r</w:t>
      </w:r>
      <w:r w:rsidRPr="008B580E">
        <w:rPr>
          <w:rFonts w:ascii="Times New Roman" w:eastAsia="Times New Roman" w:hAnsi="Times New Roman" w:cs="Times New Roman"/>
          <w:spacing w:val="-2"/>
        </w:rPr>
        <w:t>ma</w:t>
      </w:r>
      <w:r w:rsidRPr="008B580E">
        <w:rPr>
          <w:rFonts w:ascii="Times New Roman" w:eastAsia="Times New Roman" w:hAnsi="Times New Roman" w:cs="Times New Roman"/>
          <w:spacing w:val="3"/>
        </w:rPr>
        <w:t>c</w:t>
      </w:r>
      <w:r w:rsidRPr="008B580E">
        <w:rPr>
          <w:rFonts w:ascii="Times New Roman" w:eastAsia="Times New Roman" w:hAnsi="Times New Roman" w:cs="Times New Roman"/>
          <w:spacing w:val="-2"/>
        </w:rPr>
        <w:t>i</w:t>
      </w:r>
      <w:r w:rsidRPr="008B580E">
        <w:rPr>
          <w:rFonts w:ascii="Times New Roman" w:eastAsia="Times New Roman" w:hAnsi="Times New Roman" w:cs="Times New Roman"/>
          <w:spacing w:val="1"/>
        </w:rPr>
        <w:t>s</w:t>
      </w:r>
      <w:r w:rsidRPr="008B580E">
        <w:rPr>
          <w:rFonts w:ascii="Times New Roman" w:eastAsia="Times New Roman" w:hAnsi="Times New Roman" w:cs="Times New Roman"/>
          <w:spacing w:val="-2"/>
        </w:rPr>
        <w:t>t</w:t>
      </w:r>
      <w:r w:rsidRPr="008B580E">
        <w:rPr>
          <w:rFonts w:ascii="Times New Roman" w:eastAsia="Times New Roman" w:hAnsi="Times New Roman" w:cs="Times New Roman"/>
        </w:rPr>
        <w:t>s</w:t>
      </w:r>
      <w:r w:rsidRPr="008B580E">
        <w:rPr>
          <w:rFonts w:ascii="Times New Roman" w:eastAsia="Times New Roman" w:hAnsi="Times New Roman" w:cs="Times New Roman"/>
          <w:spacing w:val="1"/>
        </w:rPr>
        <w:t xml:space="preserve"> </w:t>
      </w:r>
      <w:r w:rsidRPr="008B580E">
        <w:rPr>
          <w:rFonts w:ascii="Times New Roman" w:eastAsia="Times New Roman" w:hAnsi="Times New Roman" w:cs="Times New Roman"/>
        </w:rPr>
        <w:t>h</w:t>
      </w:r>
      <w:r w:rsidRPr="008B580E">
        <w:rPr>
          <w:rFonts w:ascii="Times New Roman" w:eastAsia="Times New Roman" w:hAnsi="Times New Roman" w:cs="Times New Roman"/>
          <w:spacing w:val="-2"/>
        </w:rPr>
        <w:t>a</w:t>
      </w:r>
      <w:r w:rsidRPr="008B580E">
        <w:rPr>
          <w:rFonts w:ascii="Times New Roman" w:eastAsia="Times New Roman" w:hAnsi="Times New Roman" w:cs="Times New Roman"/>
        </w:rPr>
        <w:t>ve</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rPr>
        <w:t>not</w:t>
      </w:r>
      <w:r w:rsidRPr="008B580E">
        <w:rPr>
          <w:rFonts w:ascii="Times New Roman" w:eastAsia="Times New Roman" w:hAnsi="Times New Roman" w:cs="Times New Roman"/>
          <w:spacing w:val="3"/>
        </w:rPr>
        <w:t xml:space="preserve"> </w:t>
      </w:r>
      <w:r w:rsidRPr="008B580E">
        <w:rPr>
          <w:rFonts w:ascii="Times New Roman" w:eastAsia="Times New Roman" w:hAnsi="Times New Roman" w:cs="Times New Roman"/>
        </w:rPr>
        <w:t>h</w:t>
      </w:r>
      <w:r w:rsidRPr="008B580E">
        <w:rPr>
          <w:rFonts w:ascii="Times New Roman" w:eastAsia="Times New Roman" w:hAnsi="Times New Roman" w:cs="Times New Roman"/>
          <w:spacing w:val="-2"/>
        </w:rPr>
        <w:t>a</w:t>
      </w:r>
      <w:r w:rsidRPr="008B580E">
        <w:rPr>
          <w:rFonts w:ascii="Times New Roman" w:eastAsia="Times New Roman" w:hAnsi="Times New Roman" w:cs="Times New Roman"/>
        </w:rPr>
        <w:t>d pr</w:t>
      </w:r>
      <w:r w:rsidRPr="008B580E">
        <w:rPr>
          <w:rFonts w:ascii="Times New Roman" w:eastAsia="Times New Roman" w:hAnsi="Times New Roman" w:cs="Times New Roman"/>
          <w:spacing w:val="-1"/>
        </w:rPr>
        <w:t>e</w:t>
      </w:r>
      <w:r w:rsidRPr="008B580E">
        <w:rPr>
          <w:rFonts w:ascii="Times New Roman" w:eastAsia="Times New Roman" w:hAnsi="Times New Roman" w:cs="Times New Roman"/>
        </w:rPr>
        <w:t>v</w:t>
      </w:r>
      <w:r w:rsidRPr="008B580E">
        <w:rPr>
          <w:rFonts w:ascii="Times New Roman" w:eastAsia="Times New Roman" w:hAnsi="Times New Roman" w:cs="Times New Roman"/>
          <w:spacing w:val="-2"/>
        </w:rPr>
        <w:t>i</w:t>
      </w:r>
      <w:r w:rsidRPr="008B580E">
        <w:rPr>
          <w:rFonts w:ascii="Times New Roman" w:eastAsia="Times New Roman" w:hAnsi="Times New Roman" w:cs="Times New Roman"/>
        </w:rPr>
        <w:t>ous</w:t>
      </w:r>
      <w:r w:rsidRPr="008B580E">
        <w:rPr>
          <w:rFonts w:ascii="Times New Roman" w:eastAsia="Times New Roman" w:hAnsi="Times New Roman" w:cs="Times New Roman"/>
          <w:spacing w:val="6"/>
        </w:rPr>
        <w:t xml:space="preserve"> </w:t>
      </w:r>
      <w:r w:rsidRPr="008B580E">
        <w:rPr>
          <w:rFonts w:ascii="Times New Roman" w:eastAsia="Times New Roman" w:hAnsi="Times New Roman" w:cs="Times New Roman"/>
          <w:spacing w:val="2"/>
        </w:rPr>
        <w:t>N</w:t>
      </w:r>
      <w:r w:rsidRPr="008B580E">
        <w:rPr>
          <w:rFonts w:ascii="Times New Roman" w:eastAsia="Times New Roman" w:hAnsi="Times New Roman" w:cs="Times New Roman"/>
        </w:rPr>
        <w:t>T</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rPr>
        <w:t>b</w:t>
      </w:r>
      <w:r w:rsidRPr="008B580E">
        <w:rPr>
          <w:rFonts w:ascii="Times New Roman" w:eastAsia="Times New Roman" w:hAnsi="Times New Roman" w:cs="Times New Roman"/>
          <w:spacing w:val="-2"/>
        </w:rPr>
        <w:t>e</w:t>
      </w:r>
      <w:r w:rsidRPr="008B580E">
        <w:rPr>
          <w:rFonts w:ascii="Times New Roman" w:eastAsia="Times New Roman" w:hAnsi="Times New Roman" w:cs="Times New Roman"/>
        </w:rPr>
        <w:t>for</w:t>
      </w:r>
      <w:r w:rsidRPr="008B580E">
        <w:rPr>
          <w:rFonts w:ascii="Times New Roman" w:eastAsia="Times New Roman" w:hAnsi="Times New Roman" w:cs="Times New Roman"/>
          <w:spacing w:val="-1"/>
        </w:rPr>
        <w:t>e</w:t>
      </w:r>
      <w:r w:rsidRPr="008B580E">
        <w:rPr>
          <w:rFonts w:ascii="Times New Roman" w:eastAsia="Times New Roman" w:hAnsi="Times New Roman" w:cs="Times New Roman"/>
        </w:rPr>
        <w:t>. In g</w:t>
      </w:r>
      <w:r w:rsidRPr="008B580E">
        <w:rPr>
          <w:rFonts w:ascii="Times New Roman" w:eastAsia="Times New Roman" w:hAnsi="Times New Roman" w:cs="Times New Roman"/>
          <w:spacing w:val="-1"/>
        </w:rPr>
        <w:t>e</w:t>
      </w:r>
      <w:r w:rsidRPr="008B580E">
        <w:rPr>
          <w:rFonts w:ascii="Times New Roman" w:eastAsia="Times New Roman" w:hAnsi="Times New Roman" w:cs="Times New Roman"/>
          <w:spacing w:val="5"/>
        </w:rPr>
        <w:t>n</w:t>
      </w:r>
      <w:r w:rsidRPr="008B580E">
        <w:rPr>
          <w:rFonts w:ascii="Times New Roman" w:eastAsia="Times New Roman" w:hAnsi="Times New Roman" w:cs="Times New Roman"/>
          <w:spacing w:val="-2"/>
        </w:rPr>
        <w:t>e</w:t>
      </w:r>
      <w:r w:rsidRPr="008B580E">
        <w:rPr>
          <w:rFonts w:ascii="Times New Roman" w:eastAsia="Times New Roman" w:hAnsi="Times New Roman" w:cs="Times New Roman"/>
        </w:rPr>
        <w:t>r</w:t>
      </w:r>
      <w:r w:rsidRPr="008B580E">
        <w:rPr>
          <w:rFonts w:ascii="Times New Roman" w:eastAsia="Times New Roman" w:hAnsi="Times New Roman" w:cs="Times New Roman"/>
          <w:spacing w:val="-1"/>
        </w:rPr>
        <w:t>a</w:t>
      </w:r>
      <w:r w:rsidRPr="008B580E">
        <w:rPr>
          <w:rFonts w:ascii="Times New Roman" w:eastAsia="Times New Roman" w:hAnsi="Times New Roman" w:cs="Times New Roman"/>
          <w:spacing w:val="-2"/>
        </w:rPr>
        <w:t>l</w:t>
      </w:r>
      <w:r w:rsidRPr="008B580E">
        <w:rPr>
          <w:rFonts w:ascii="Times New Roman" w:eastAsia="Times New Roman" w:hAnsi="Times New Roman" w:cs="Times New Roman"/>
        </w:rPr>
        <w:t>,</w:t>
      </w:r>
      <w:r w:rsidRPr="008B580E">
        <w:rPr>
          <w:rFonts w:ascii="Times New Roman" w:eastAsia="Times New Roman" w:hAnsi="Times New Roman" w:cs="Times New Roman"/>
          <w:spacing w:val="5"/>
        </w:rPr>
        <w:t xml:space="preserve"> </w:t>
      </w:r>
      <w:r w:rsidRPr="008B580E">
        <w:rPr>
          <w:rFonts w:ascii="Times New Roman" w:eastAsia="Times New Roman" w:hAnsi="Times New Roman" w:cs="Times New Roman"/>
          <w:spacing w:val="-2"/>
        </w:rPr>
        <w:t>a</w:t>
      </w:r>
      <w:r w:rsidRPr="008B580E">
        <w:rPr>
          <w:rFonts w:ascii="Times New Roman" w:eastAsia="Times New Roman" w:hAnsi="Times New Roman" w:cs="Times New Roman"/>
        </w:rPr>
        <w:t>f</w:t>
      </w:r>
      <w:r w:rsidRPr="008B580E">
        <w:rPr>
          <w:rFonts w:ascii="Times New Roman" w:eastAsia="Times New Roman" w:hAnsi="Times New Roman" w:cs="Times New Roman"/>
          <w:spacing w:val="-2"/>
        </w:rPr>
        <w:t>te</w:t>
      </w:r>
      <w:r w:rsidRPr="008B580E">
        <w:rPr>
          <w:rFonts w:ascii="Times New Roman" w:eastAsia="Times New Roman" w:hAnsi="Times New Roman" w:cs="Times New Roman"/>
        </w:rPr>
        <w:t xml:space="preserve">r </w:t>
      </w:r>
      <w:r w:rsidRPr="008B580E">
        <w:rPr>
          <w:rFonts w:ascii="Times New Roman" w:eastAsia="Times New Roman" w:hAnsi="Times New Roman" w:cs="Times New Roman"/>
          <w:spacing w:val="2"/>
        </w:rPr>
        <w:t>N</w:t>
      </w:r>
      <w:r w:rsidRPr="008B580E">
        <w:rPr>
          <w:rFonts w:ascii="Times New Roman" w:eastAsia="Times New Roman" w:hAnsi="Times New Roman" w:cs="Times New Roman"/>
          <w:spacing w:val="-2"/>
        </w:rPr>
        <w:t>T</w:t>
      </w:r>
      <w:r w:rsidRPr="008B580E">
        <w:rPr>
          <w:rFonts w:ascii="Times New Roman" w:eastAsia="Times New Roman" w:hAnsi="Times New Roman" w:cs="Times New Roman"/>
        </w:rPr>
        <w:t xml:space="preserve">, </w:t>
      </w:r>
      <w:r w:rsidRPr="008B580E">
        <w:rPr>
          <w:rFonts w:ascii="Times New Roman" w:eastAsia="Times New Roman" w:hAnsi="Times New Roman" w:cs="Times New Roman"/>
          <w:spacing w:val="-2"/>
        </w:rPr>
        <w:t>maj</w:t>
      </w:r>
      <w:r w:rsidRPr="008B580E">
        <w:rPr>
          <w:rFonts w:ascii="Times New Roman" w:eastAsia="Times New Roman" w:hAnsi="Times New Roman" w:cs="Times New Roman"/>
        </w:rPr>
        <w:t>or</w:t>
      </w:r>
      <w:r w:rsidRPr="008B580E">
        <w:rPr>
          <w:rFonts w:ascii="Times New Roman" w:eastAsia="Times New Roman" w:hAnsi="Times New Roman" w:cs="Times New Roman"/>
          <w:spacing w:val="3"/>
        </w:rPr>
        <w:t>i</w:t>
      </w:r>
      <w:r w:rsidRPr="008B580E">
        <w:rPr>
          <w:rFonts w:ascii="Times New Roman" w:eastAsia="Times New Roman" w:hAnsi="Times New Roman" w:cs="Times New Roman"/>
          <w:spacing w:val="-2"/>
        </w:rPr>
        <w:t>t</w:t>
      </w:r>
      <w:r w:rsidRPr="008B580E">
        <w:rPr>
          <w:rFonts w:ascii="Times New Roman" w:eastAsia="Times New Roman" w:hAnsi="Times New Roman" w:cs="Times New Roman"/>
        </w:rPr>
        <w:t xml:space="preserve">y of </w:t>
      </w:r>
      <w:r w:rsidRPr="008B580E">
        <w:rPr>
          <w:rFonts w:ascii="Times New Roman" w:eastAsia="Times New Roman" w:hAnsi="Times New Roman" w:cs="Times New Roman"/>
          <w:spacing w:val="-2"/>
        </w:rPr>
        <w:t>t</w:t>
      </w:r>
      <w:r w:rsidRPr="008B580E">
        <w:rPr>
          <w:rFonts w:ascii="Times New Roman" w:eastAsia="Times New Roman" w:hAnsi="Times New Roman" w:cs="Times New Roman"/>
        </w:rPr>
        <w:t>he</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rPr>
        <w:t>p</w:t>
      </w:r>
      <w:r w:rsidRPr="008B580E">
        <w:rPr>
          <w:rFonts w:ascii="Times New Roman" w:eastAsia="Times New Roman" w:hAnsi="Times New Roman" w:cs="Times New Roman"/>
          <w:spacing w:val="5"/>
        </w:rPr>
        <w:t>h</w:t>
      </w:r>
      <w:r w:rsidRPr="008B580E">
        <w:rPr>
          <w:rFonts w:ascii="Times New Roman" w:eastAsia="Times New Roman" w:hAnsi="Times New Roman" w:cs="Times New Roman"/>
          <w:spacing w:val="-2"/>
        </w:rPr>
        <w:t>a</w:t>
      </w:r>
      <w:r w:rsidRPr="008B580E">
        <w:rPr>
          <w:rFonts w:ascii="Times New Roman" w:eastAsia="Times New Roman" w:hAnsi="Times New Roman" w:cs="Times New Roman"/>
        </w:rPr>
        <w:t>r</w:t>
      </w:r>
      <w:r w:rsidRPr="008B580E">
        <w:rPr>
          <w:rFonts w:ascii="Times New Roman" w:eastAsia="Times New Roman" w:hAnsi="Times New Roman" w:cs="Times New Roman"/>
          <w:spacing w:val="-2"/>
        </w:rPr>
        <w:t>ma</w:t>
      </w:r>
      <w:r w:rsidRPr="008B580E">
        <w:rPr>
          <w:rFonts w:ascii="Times New Roman" w:eastAsia="Times New Roman" w:hAnsi="Times New Roman" w:cs="Times New Roman"/>
          <w:spacing w:val="3"/>
        </w:rPr>
        <w:t>c</w:t>
      </w:r>
      <w:r w:rsidRPr="008B580E">
        <w:rPr>
          <w:rFonts w:ascii="Times New Roman" w:eastAsia="Times New Roman" w:hAnsi="Times New Roman" w:cs="Times New Roman"/>
          <w:spacing w:val="-2"/>
        </w:rPr>
        <w:t>i</w:t>
      </w:r>
      <w:r w:rsidRPr="008B580E">
        <w:rPr>
          <w:rFonts w:ascii="Times New Roman" w:eastAsia="Times New Roman" w:hAnsi="Times New Roman" w:cs="Times New Roman"/>
          <w:spacing w:val="1"/>
        </w:rPr>
        <w:t>s</w:t>
      </w:r>
      <w:r w:rsidRPr="008B580E">
        <w:rPr>
          <w:rFonts w:ascii="Times New Roman" w:eastAsia="Times New Roman" w:hAnsi="Times New Roman" w:cs="Times New Roman"/>
          <w:spacing w:val="-2"/>
        </w:rPr>
        <w:t>t</w:t>
      </w:r>
      <w:r w:rsidRPr="008B580E">
        <w:rPr>
          <w:rFonts w:ascii="Times New Roman" w:eastAsia="Times New Roman" w:hAnsi="Times New Roman" w:cs="Times New Roman"/>
        </w:rPr>
        <w:t>s</w:t>
      </w:r>
      <w:r w:rsidRPr="008B580E">
        <w:rPr>
          <w:rFonts w:ascii="Times New Roman" w:eastAsia="Times New Roman" w:hAnsi="Times New Roman" w:cs="Times New Roman"/>
          <w:spacing w:val="1"/>
        </w:rPr>
        <w:t xml:space="preserve"> </w:t>
      </w:r>
      <w:r w:rsidRPr="008B580E">
        <w:rPr>
          <w:rFonts w:ascii="Times New Roman" w:eastAsia="Times New Roman" w:hAnsi="Times New Roman" w:cs="Times New Roman"/>
        </w:rPr>
        <w:t>r</w:t>
      </w:r>
      <w:r w:rsidRPr="008B580E">
        <w:rPr>
          <w:rFonts w:ascii="Times New Roman" w:eastAsia="Times New Roman" w:hAnsi="Times New Roman" w:cs="Times New Roman"/>
          <w:spacing w:val="-1"/>
        </w:rPr>
        <w:t>e</w:t>
      </w:r>
      <w:r w:rsidRPr="008B580E">
        <w:rPr>
          <w:rFonts w:ascii="Times New Roman" w:eastAsia="Times New Roman" w:hAnsi="Times New Roman" w:cs="Times New Roman"/>
        </w:rPr>
        <w:t>por</w:t>
      </w:r>
      <w:r w:rsidRPr="008B580E">
        <w:rPr>
          <w:rFonts w:ascii="Times New Roman" w:eastAsia="Times New Roman" w:hAnsi="Times New Roman" w:cs="Times New Roman"/>
          <w:spacing w:val="-2"/>
        </w:rPr>
        <w:t>te</w:t>
      </w:r>
      <w:r w:rsidRPr="008B580E">
        <w:rPr>
          <w:rFonts w:ascii="Times New Roman" w:eastAsia="Times New Roman" w:hAnsi="Times New Roman" w:cs="Times New Roman"/>
        </w:rPr>
        <w:t>d</w:t>
      </w:r>
      <w:r w:rsidRPr="008B580E">
        <w:rPr>
          <w:rFonts w:ascii="Times New Roman" w:eastAsia="Times New Roman" w:hAnsi="Times New Roman" w:cs="Times New Roman"/>
          <w:spacing w:val="5"/>
        </w:rPr>
        <w:t xml:space="preserve"> </w:t>
      </w:r>
      <w:r w:rsidRPr="008B580E">
        <w:rPr>
          <w:rFonts w:ascii="Times New Roman" w:eastAsia="Times New Roman" w:hAnsi="Times New Roman" w:cs="Times New Roman"/>
          <w:spacing w:val="-2"/>
        </w:rPr>
        <w:t>a</w:t>
      </w:r>
      <w:r w:rsidRPr="008B580E">
        <w:rPr>
          <w:rFonts w:ascii="Times New Roman" w:eastAsia="Times New Roman" w:hAnsi="Times New Roman" w:cs="Times New Roman"/>
        </w:rPr>
        <w:t>s</w:t>
      </w:r>
      <w:r w:rsidRPr="008B580E">
        <w:rPr>
          <w:rFonts w:ascii="Times New Roman" w:eastAsia="Times New Roman" w:hAnsi="Times New Roman" w:cs="Times New Roman"/>
          <w:spacing w:val="1"/>
        </w:rPr>
        <w:t xml:space="preserve"> </w:t>
      </w:r>
      <w:r w:rsidRPr="008B580E">
        <w:rPr>
          <w:rFonts w:ascii="Times New Roman" w:eastAsia="Times New Roman" w:hAnsi="Times New Roman" w:cs="Times New Roman"/>
        </w:rPr>
        <w:t>‘</w:t>
      </w:r>
      <w:r w:rsidRPr="008B580E">
        <w:rPr>
          <w:rFonts w:ascii="Times New Roman" w:eastAsia="Times New Roman" w:hAnsi="Times New Roman" w:cs="Times New Roman"/>
          <w:spacing w:val="1"/>
        </w:rPr>
        <w:t>s</w:t>
      </w:r>
      <w:r w:rsidRPr="008B580E">
        <w:rPr>
          <w:rFonts w:ascii="Times New Roman" w:eastAsia="Times New Roman" w:hAnsi="Times New Roman" w:cs="Times New Roman"/>
        </w:rPr>
        <w:t>o</w:t>
      </w:r>
      <w:r w:rsidRPr="008B580E">
        <w:rPr>
          <w:rFonts w:ascii="Times New Roman" w:eastAsia="Times New Roman" w:hAnsi="Times New Roman" w:cs="Times New Roman"/>
          <w:spacing w:val="-2"/>
        </w:rPr>
        <w:t>me</w:t>
      </w:r>
      <w:r w:rsidRPr="008B580E">
        <w:rPr>
          <w:rFonts w:ascii="Times New Roman" w:eastAsia="Times New Roman" w:hAnsi="Times New Roman" w:cs="Times New Roman"/>
          <w:spacing w:val="1"/>
        </w:rPr>
        <w:t>w</w:t>
      </w:r>
      <w:r w:rsidRPr="008B580E">
        <w:rPr>
          <w:rFonts w:ascii="Times New Roman" w:eastAsia="Times New Roman" w:hAnsi="Times New Roman" w:cs="Times New Roman"/>
        </w:rPr>
        <w:t>h</w:t>
      </w:r>
      <w:r w:rsidRPr="008B580E">
        <w:rPr>
          <w:rFonts w:ascii="Times New Roman" w:eastAsia="Times New Roman" w:hAnsi="Times New Roman" w:cs="Times New Roman"/>
          <w:spacing w:val="-2"/>
        </w:rPr>
        <w:t>a</w:t>
      </w:r>
      <w:r w:rsidRPr="008B580E">
        <w:rPr>
          <w:rFonts w:ascii="Times New Roman" w:eastAsia="Times New Roman" w:hAnsi="Times New Roman" w:cs="Times New Roman"/>
        </w:rPr>
        <w:t>t</w:t>
      </w:r>
      <w:r w:rsidRPr="008B580E">
        <w:rPr>
          <w:rFonts w:ascii="Times New Roman" w:eastAsia="Times New Roman" w:hAnsi="Times New Roman" w:cs="Times New Roman"/>
          <w:spacing w:val="-2"/>
        </w:rPr>
        <w:t xml:space="preserve"> c</w:t>
      </w:r>
      <w:r w:rsidRPr="008B580E">
        <w:rPr>
          <w:rFonts w:ascii="Times New Roman" w:eastAsia="Times New Roman" w:hAnsi="Times New Roman" w:cs="Times New Roman"/>
        </w:rPr>
        <w:t>onf</w:t>
      </w:r>
      <w:r w:rsidRPr="008B580E">
        <w:rPr>
          <w:rFonts w:ascii="Times New Roman" w:eastAsia="Times New Roman" w:hAnsi="Times New Roman" w:cs="Times New Roman"/>
          <w:spacing w:val="-2"/>
        </w:rPr>
        <w:t>i</w:t>
      </w:r>
      <w:r w:rsidRPr="008B580E">
        <w:rPr>
          <w:rFonts w:ascii="Times New Roman" w:eastAsia="Times New Roman" w:hAnsi="Times New Roman" w:cs="Times New Roman"/>
          <w:spacing w:val="5"/>
        </w:rPr>
        <w:t>d</w:t>
      </w:r>
      <w:r w:rsidRPr="008B580E">
        <w:rPr>
          <w:rFonts w:ascii="Times New Roman" w:eastAsia="Times New Roman" w:hAnsi="Times New Roman" w:cs="Times New Roman"/>
          <w:spacing w:val="-2"/>
        </w:rPr>
        <w:t>e</w:t>
      </w:r>
      <w:r w:rsidRPr="008B580E">
        <w:rPr>
          <w:rFonts w:ascii="Times New Roman" w:eastAsia="Times New Roman" w:hAnsi="Times New Roman" w:cs="Times New Roman"/>
        </w:rPr>
        <w:t>n</w:t>
      </w:r>
      <w:r w:rsidRPr="008B580E">
        <w:rPr>
          <w:rFonts w:ascii="Times New Roman" w:eastAsia="Times New Roman" w:hAnsi="Times New Roman" w:cs="Times New Roman"/>
          <w:spacing w:val="-2"/>
        </w:rPr>
        <w:t>t”</w:t>
      </w:r>
      <w:r w:rsidRPr="008B580E">
        <w:rPr>
          <w:rFonts w:ascii="Times New Roman" w:eastAsia="Times New Roman" w:hAnsi="Times New Roman" w:cs="Times New Roman"/>
        </w:rPr>
        <w:t>,</w:t>
      </w:r>
      <w:r w:rsidRPr="008B580E">
        <w:rPr>
          <w:rFonts w:ascii="Times New Roman" w:eastAsia="Times New Roman" w:hAnsi="Times New Roman" w:cs="Times New Roman"/>
          <w:spacing w:val="5"/>
        </w:rPr>
        <w:t xml:space="preserve"> </w:t>
      </w:r>
      <w:r w:rsidRPr="008B580E">
        <w:rPr>
          <w:rFonts w:ascii="Times New Roman" w:eastAsia="Times New Roman" w:hAnsi="Times New Roman" w:cs="Times New Roman"/>
          <w:spacing w:val="-2"/>
        </w:rPr>
        <w:t>“c</w:t>
      </w:r>
      <w:r w:rsidRPr="008B580E">
        <w:rPr>
          <w:rFonts w:ascii="Times New Roman" w:eastAsia="Times New Roman" w:hAnsi="Times New Roman" w:cs="Times New Roman"/>
        </w:rPr>
        <w:t>onf</w:t>
      </w:r>
      <w:r w:rsidRPr="008B580E">
        <w:rPr>
          <w:rFonts w:ascii="Times New Roman" w:eastAsia="Times New Roman" w:hAnsi="Times New Roman" w:cs="Times New Roman"/>
          <w:spacing w:val="-2"/>
        </w:rPr>
        <w:t>i</w:t>
      </w:r>
      <w:r w:rsidRPr="008B580E">
        <w:rPr>
          <w:rFonts w:ascii="Times New Roman" w:eastAsia="Times New Roman" w:hAnsi="Times New Roman" w:cs="Times New Roman"/>
        </w:rPr>
        <w:t>d</w:t>
      </w:r>
      <w:r w:rsidRPr="008B580E">
        <w:rPr>
          <w:rFonts w:ascii="Times New Roman" w:eastAsia="Times New Roman" w:hAnsi="Times New Roman" w:cs="Times New Roman"/>
          <w:spacing w:val="-2"/>
        </w:rPr>
        <w:t>e</w:t>
      </w:r>
      <w:r w:rsidRPr="008B580E">
        <w:rPr>
          <w:rFonts w:ascii="Times New Roman" w:eastAsia="Times New Roman" w:hAnsi="Times New Roman" w:cs="Times New Roman"/>
          <w:spacing w:val="5"/>
        </w:rPr>
        <w:t>n</w:t>
      </w:r>
      <w:r w:rsidRPr="008B580E">
        <w:rPr>
          <w:rFonts w:ascii="Times New Roman" w:eastAsia="Times New Roman" w:hAnsi="Times New Roman" w:cs="Times New Roman"/>
          <w:spacing w:val="-2"/>
        </w:rPr>
        <w:t>t”</w:t>
      </w:r>
      <w:r w:rsidRPr="008B580E">
        <w:rPr>
          <w:rFonts w:ascii="Times New Roman" w:eastAsia="Times New Roman" w:hAnsi="Times New Roman" w:cs="Times New Roman"/>
        </w:rPr>
        <w:t xml:space="preserve">, or </w:t>
      </w:r>
      <w:r w:rsidRPr="008B580E">
        <w:rPr>
          <w:rFonts w:ascii="Times New Roman" w:eastAsia="Times New Roman" w:hAnsi="Times New Roman" w:cs="Times New Roman"/>
          <w:spacing w:val="3"/>
        </w:rPr>
        <w:t>“</w:t>
      </w:r>
      <w:r w:rsidRPr="008B580E">
        <w:rPr>
          <w:rFonts w:ascii="Times New Roman" w:eastAsia="Times New Roman" w:hAnsi="Times New Roman" w:cs="Times New Roman"/>
          <w:spacing w:val="-2"/>
        </w:rPr>
        <w:t>e</w:t>
      </w:r>
      <w:r w:rsidRPr="008B580E">
        <w:rPr>
          <w:rFonts w:ascii="Times New Roman" w:eastAsia="Times New Roman" w:hAnsi="Times New Roman" w:cs="Times New Roman"/>
        </w:rPr>
        <w:t>x</w:t>
      </w:r>
      <w:r w:rsidRPr="008B580E">
        <w:rPr>
          <w:rFonts w:ascii="Times New Roman" w:eastAsia="Times New Roman" w:hAnsi="Times New Roman" w:cs="Times New Roman"/>
          <w:spacing w:val="-2"/>
        </w:rPr>
        <w:t>t</w:t>
      </w:r>
      <w:r w:rsidRPr="008B580E">
        <w:rPr>
          <w:rFonts w:ascii="Times New Roman" w:eastAsia="Times New Roman" w:hAnsi="Times New Roman" w:cs="Times New Roman"/>
        </w:rPr>
        <w:t>r</w:t>
      </w:r>
      <w:r w:rsidRPr="008B580E">
        <w:rPr>
          <w:rFonts w:ascii="Times New Roman" w:eastAsia="Times New Roman" w:hAnsi="Times New Roman" w:cs="Times New Roman"/>
          <w:spacing w:val="3"/>
        </w:rPr>
        <w:t>e</w:t>
      </w:r>
      <w:r w:rsidRPr="008B580E">
        <w:rPr>
          <w:rFonts w:ascii="Times New Roman" w:eastAsia="Times New Roman" w:hAnsi="Times New Roman" w:cs="Times New Roman"/>
          <w:spacing w:val="-2"/>
        </w:rPr>
        <w:t>mel</w:t>
      </w:r>
      <w:r w:rsidRPr="008B580E">
        <w:rPr>
          <w:rFonts w:ascii="Times New Roman" w:eastAsia="Times New Roman" w:hAnsi="Times New Roman" w:cs="Times New Roman"/>
        </w:rPr>
        <w:t xml:space="preserve">y </w:t>
      </w:r>
      <w:r w:rsidRPr="008B580E">
        <w:rPr>
          <w:rFonts w:ascii="Times New Roman" w:eastAsia="Times New Roman" w:hAnsi="Times New Roman" w:cs="Times New Roman"/>
          <w:spacing w:val="-2"/>
        </w:rPr>
        <w:t>c</w:t>
      </w:r>
      <w:r w:rsidRPr="008B580E">
        <w:rPr>
          <w:rFonts w:ascii="Times New Roman" w:eastAsia="Times New Roman" w:hAnsi="Times New Roman" w:cs="Times New Roman"/>
        </w:rPr>
        <w:t>onf</w:t>
      </w:r>
      <w:r w:rsidRPr="008B580E">
        <w:rPr>
          <w:rFonts w:ascii="Times New Roman" w:eastAsia="Times New Roman" w:hAnsi="Times New Roman" w:cs="Times New Roman"/>
          <w:spacing w:val="-2"/>
        </w:rPr>
        <w:t>i</w:t>
      </w:r>
      <w:r w:rsidRPr="008B580E">
        <w:rPr>
          <w:rFonts w:ascii="Times New Roman" w:eastAsia="Times New Roman" w:hAnsi="Times New Roman" w:cs="Times New Roman"/>
        </w:rPr>
        <w:t>d</w:t>
      </w:r>
      <w:r w:rsidRPr="008B580E">
        <w:rPr>
          <w:rFonts w:ascii="Times New Roman" w:eastAsia="Times New Roman" w:hAnsi="Times New Roman" w:cs="Times New Roman"/>
          <w:spacing w:val="-2"/>
        </w:rPr>
        <w:t>e</w:t>
      </w:r>
      <w:r w:rsidRPr="008B580E">
        <w:rPr>
          <w:rFonts w:ascii="Times New Roman" w:eastAsia="Times New Roman" w:hAnsi="Times New Roman" w:cs="Times New Roman"/>
        </w:rPr>
        <w:t>n</w:t>
      </w:r>
      <w:r w:rsidRPr="008B580E">
        <w:rPr>
          <w:rFonts w:ascii="Times New Roman" w:eastAsia="Times New Roman" w:hAnsi="Times New Roman" w:cs="Times New Roman"/>
          <w:spacing w:val="3"/>
        </w:rPr>
        <w:t>t</w:t>
      </w:r>
      <w:r w:rsidRPr="008B580E">
        <w:rPr>
          <w:rFonts w:ascii="Times New Roman" w:eastAsia="Times New Roman" w:hAnsi="Times New Roman" w:cs="Times New Roman"/>
        </w:rPr>
        <w:t>”</w:t>
      </w:r>
      <w:r w:rsidRPr="008B580E">
        <w:rPr>
          <w:rFonts w:ascii="Times New Roman" w:eastAsia="Times New Roman" w:hAnsi="Times New Roman" w:cs="Times New Roman"/>
          <w:spacing w:val="-2"/>
        </w:rPr>
        <w:t xml:space="preserve"> i</w:t>
      </w:r>
      <w:r w:rsidRPr="008B580E">
        <w:rPr>
          <w:rFonts w:ascii="Times New Roman" w:eastAsia="Times New Roman" w:hAnsi="Times New Roman" w:cs="Times New Roman"/>
        </w:rPr>
        <w:t xml:space="preserve">n </w:t>
      </w:r>
      <w:r w:rsidRPr="008B580E">
        <w:rPr>
          <w:rFonts w:ascii="Times New Roman" w:eastAsia="Times New Roman" w:hAnsi="Times New Roman" w:cs="Times New Roman"/>
          <w:spacing w:val="-2"/>
        </w:rPr>
        <w:t>t</w:t>
      </w:r>
      <w:r w:rsidRPr="008B580E">
        <w:rPr>
          <w:rFonts w:ascii="Times New Roman" w:eastAsia="Times New Roman" w:hAnsi="Times New Roman" w:cs="Times New Roman"/>
          <w:spacing w:val="5"/>
        </w:rPr>
        <w:t>h</w:t>
      </w:r>
      <w:r w:rsidRPr="008B580E">
        <w:rPr>
          <w:rFonts w:ascii="Times New Roman" w:eastAsia="Times New Roman" w:hAnsi="Times New Roman" w:cs="Times New Roman"/>
          <w:spacing w:val="-2"/>
        </w:rPr>
        <w:t>ei</w:t>
      </w:r>
      <w:r w:rsidRPr="008B580E">
        <w:rPr>
          <w:rFonts w:ascii="Times New Roman" w:eastAsia="Times New Roman" w:hAnsi="Times New Roman" w:cs="Times New Roman"/>
        </w:rPr>
        <w:t xml:space="preserve">r </w:t>
      </w:r>
      <w:r w:rsidRPr="008B580E">
        <w:rPr>
          <w:rFonts w:ascii="Times New Roman" w:eastAsia="Times New Roman" w:hAnsi="Times New Roman" w:cs="Times New Roman"/>
          <w:spacing w:val="-1"/>
        </w:rPr>
        <w:t>a</w:t>
      </w:r>
      <w:r w:rsidRPr="008B580E">
        <w:rPr>
          <w:rFonts w:ascii="Times New Roman" w:eastAsia="Times New Roman" w:hAnsi="Times New Roman" w:cs="Times New Roman"/>
          <w:spacing w:val="5"/>
        </w:rPr>
        <w:t>b</w:t>
      </w:r>
      <w:r w:rsidRPr="008B580E">
        <w:rPr>
          <w:rFonts w:ascii="Times New Roman" w:eastAsia="Times New Roman" w:hAnsi="Times New Roman" w:cs="Times New Roman"/>
          <w:spacing w:val="-2"/>
        </w:rPr>
        <w:t>il</w:t>
      </w:r>
      <w:r w:rsidRPr="008B580E">
        <w:rPr>
          <w:rFonts w:ascii="Times New Roman" w:eastAsia="Times New Roman" w:hAnsi="Times New Roman" w:cs="Times New Roman"/>
          <w:spacing w:val="3"/>
        </w:rPr>
        <w:t>i</w:t>
      </w:r>
      <w:r w:rsidRPr="008B580E">
        <w:rPr>
          <w:rFonts w:ascii="Times New Roman" w:eastAsia="Times New Roman" w:hAnsi="Times New Roman" w:cs="Times New Roman"/>
          <w:spacing w:val="-2"/>
        </w:rPr>
        <w:t>t</w:t>
      </w:r>
      <w:r w:rsidRPr="008B580E">
        <w:rPr>
          <w:rFonts w:ascii="Times New Roman" w:eastAsia="Times New Roman" w:hAnsi="Times New Roman" w:cs="Times New Roman"/>
        </w:rPr>
        <w:t xml:space="preserve">y </w:t>
      </w:r>
      <w:r w:rsidRPr="008B580E">
        <w:rPr>
          <w:rFonts w:ascii="Times New Roman" w:eastAsia="Times New Roman" w:hAnsi="Times New Roman" w:cs="Times New Roman"/>
          <w:spacing w:val="-2"/>
        </w:rPr>
        <w:t>t</w:t>
      </w:r>
      <w:r w:rsidRPr="008B580E">
        <w:rPr>
          <w:rFonts w:ascii="Times New Roman" w:eastAsia="Times New Roman" w:hAnsi="Times New Roman" w:cs="Times New Roman"/>
        </w:rPr>
        <w:t xml:space="preserve">o </w:t>
      </w:r>
      <w:r w:rsidRPr="008B580E">
        <w:rPr>
          <w:rFonts w:ascii="Times New Roman" w:eastAsia="Times New Roman" w:hAnsi="Times New Roman" w:cs="Times New Roman"/>
          <w:spacing w:val="-2"/>
        </w:rPr>
        <w:t>i</w:t>
      </w:r>
      <w:r w:rsidRPr="008B580E">
        <w:rPr>
          <w:rFonts w:ascii="Times New Roman" w:eastAsia="Times New Roman" w:hAnsi="Times New Roman" w:cs="Times New Roman"/>
        </w:rPr>
        <w:t>d</w:t>
      </w:r>
      <w:r w:rsidRPr="008B580E">
        <w:rPr>
          <w:rFonts w:ascii="Times New Roman" w:eastAsia="Times New Roman" w:hAnsi="Times New Roman" w:cs="Times New Roman"/>
          <w:spacing w:val="-2"/>
        </w:rPr>
        <w:t>e</w:t>
      </w:r>
      <w:r w:rsidRPr="008B580E">
        <w:rPr>
          <w:rFonts w:ascii="Times New Roman" w:eastAsia="Times New Roman" w:hAnsi="Times New Roman" w:cs="Times New Roman"/>
          <w:spacing w:val="5"/>
        </w:rPr>
        <w:t>n</w:t>
      </w:r>
      <w:r w:rsidRPr="008B580E">
        <w:rPr>
          <w:rFonts w:ascii="Times New Roman" w:eastAsia="Times New Roman" w:hAnsi="Times New Roman" w:cs="Times New Roman"/>
          <w:spacing w:val="-2"/>
        </w:rPr>
        <w:t>ti</w:t>
      </w:r>
      <w:r w:rsidRPr="008B580E">
        <w:rPr>
          <w:rFonts w:ascii="Times New Roman" w:eastAsia="Times New Roman" w:hAnsi="Times New Roman" w:cs="Times New Roman"/>
        </w:rPr>
        <w:t xml:space="preserve">fy </w:t>
      </w:r>
      <w:r w:rsidRPr="008B580E">
        <w:rPr>
          <w:rFonts w:ascii="Times New Roman" w:eastAsia="Times New Roman" w:hAnsi="Times New Roman" w:cs="Times New Roman"/>
          <w:spacing w:val="1"/>
        </w:rPr>
        <w:t>s</w:t>
      </w:r>
      <w:r w:rsidRPr="008B580E">
        <w:rPr>
          <w:rFonts w:ascii="Times New Roman" w:eastAsia="Times New Roman" w:hAnsi="Times New Roman" w:cs="Times New Roman"/>
          <w:spacing w:val="-2"/>
        </w:rPr>
        <w:t>i</w:t>
      </w:r>
      <w:r w:rsidRPr="008B580E">
        <w:rPr>
          <w:rFonts w:ascii="Times New Roman" w:eastAsia="Times New Roman" w:hAnsi="Times New Roman" w:cs="Times New Roman"/>
        </w:rPr>
        <w:t>gns</w:t>
      </w:r>
      <w:r w:rsidRPr="008B580E">
        <w:rPr>
          <w:rFonts w:ascii="Times New Roman" w:eastAsia="Times New Roman" w:hAnsi="Times New Roman" w:cs="Times New Roman"/>
          <w:spacing w:val="1"/>
        </w:rPr>
        <w:t xml:space="preserve"> </w:t>
      </w:r>
      <w:r w:rsidRPr="008B580E">
        <w:rPr>
          <w:rFonts w:ascii="Times New Roman" w:eastAsia="Times New Roman" w:hAnsi="Times New Roman" w:cs="Times New Roman"/>
          <w:spacing w:val="-2"/>
        </w:rPr>
        <w:t>a</w:t>
      </w:r>
      <w:r w:rsidRPr="008B580E">
        <w:rPr>
          <w:rFonts w:ascii="Times New Roman" w:eastAsia="Times New Roman" w:hAnsi="Times New Roman" w:cs="Times New Roman"/>
        </w:rPr>
        <w:t xml:space="preserve">nd </w:t>
      </w:r>
      <w:r w:rsidRPr="008B580E">
        <w:rPr>
          <w:rFonts w:ascii="Times New Roman" w:eastAsia="Times New Roman" w:hAnsi="Times New Roman" w:cs="Times New Roman"/>
          <w:spacing w:val="1"/>
        </w:rPr>
        <w:t>s</w:t>
      </w:r>
      <w:r w:rsidRPr="008B580E">
        <w:rPr>
          <w:rFonts w:ascii="Times New Roman" w:eastAsia="Times New Roman" w:hAnsi="Times New Roman" w:cs="Times New Roman"/>
        </w:rPr>
        <w:t>y</w:t>
      </w:r>
      <w:r w:rsidRPr="008B580E">
        <w:rPr>
          <w:rFonts w:ascii="Times New Roman" w:eastAsia="Times New Roman" w:hAnsi="Times New Roman" w:cs="Times New Roman"/>
          <w:spacing w:val="-2"/>
        </w:rPr>
        <w:t>m</w:t>
      </w:r>
      <w:r w:rsidRPr="008B580E">
        <w:rPr>
          <w:rFonts w:ascii="Times New Roman" w:eastAsia="Times New Roman" w:hAnsi="Times New Roman" w:cs="Times New Roman"/>
          <w:spacing w:val="5"/>
        </w:rPr>
        <w:t>p</w:t>
      </w:r>
      <w:r w:rsidRPr="008B580E">
        <w:rPr>
          <w:rFonts w:ascii="Times New Roman" w:eastAsia="Times New Roman" w:hAnsi="Times New Roman" w:cs="Times New Roman"/>
          <w:spacing w:val="3"/>
        </w:rPr>
        <w:t>t</w:t>
      </w:r>
      <w:r w:rsidRPr="008B580E">
        <w:rPr>
          <w:rFonts w:ascii="Times New Roman" w:eastAsia="Times New Roman" w:hAnsi="Times New Roman" w:cs="Times New Roman"/>
        </w:rPr>
        <w:t>o</w:t>
      </w:r>
      <w:r w:rsidRPr="008B580E">
        <w:rPr>
          <w:rFonts w:ascii="Times New Roman" w:eastAsia="Times New Roman" w:hAnsi="Times New Roman" w:cs="Times New Roman"/>
          <w:spacing w:val="-2"/>
        </w:rPr>
        <w:t>m</w:t>
      </w:r>
      <w:r w:rsidRPr="008B580E">
        <w:rPr>
          <w:rFonts w:ascii="Times New Roman" w:eastAsia="Times New Roman" w:hAnsi="Times New Roman" w:cs="Times New Roman"/>
        </w:rPr>
        <w:t>s</w:t>
      </w:r>
      <w:r w:rsidRPr="008B580E">
        <w:rPr>
          <w:rFonts w:ascii="Times New Roman" w:eastAsia="Times New Roman" w:hAnsi="Times New Roman" w:cs="Times New Roman"/>
          <w:spacing w:val="1"/>
        </w:rPr>
        <w:t xml:space="preserve"> </w:t>
      </w:r>
      <w:r w:rsidRPr="008B580E">
        <w:rPr>
          <w:rFonts w:ascii="Times New Roman" w:eastAsia="Times New Roman" w:hAnsi="Times New Roman" w:cs="Times New Roman"/>
        </w:rPr>
        <w:t>of op</w:t>
      </w:r>
      <w:r w:rsidRPr="008B580E">
        <w:rPr>
          <w:rFonts w:ascii="Times New Roman" w:eastAsia="Times New Roman" w:hAnsi="Times New Roman" w:cs="Times New Roman"/>
          <w:spacing w:val="-2"/>
        </w:rPr>
        <w:t>i</w:t>
      </w:r>
      <w:r w:rsidRPr="008B580E">
        <w:rPr>
          <w:rFonts w:ascii="Times New Roman" w:eastAsia="Times New Roman" w:hAnsi="Times New Roman" w:cs="Times New Roman"/>
        </w:rPr>
        <w:t>o</w:t>
      </w:r>
      <w:r w:rsidRPr="008B580E">
        <w:rPr>
          <w:rFonts w:ascii="Times New Roman" w:eastAsia="Times New Roman" w:hAnsi="Times New Roman" w:cs="Times New Roman"/>
          <w:spacing w:val="-2"/>
        </w:rPr>
        <w:t>i</w:t>
      </w:r>
      <w:r w:rsidRPr="008B580E">
        <w:rPr>
          <w:rFonts w:ascii="Times New Roman" w:eastAsia="Times New Roman" w:hAnsi="Times New Roman" w:cs="Times New Roman"/>
        </w:rPr>
        <w:t>d ov</w:t>
      </w:r>
      <w:r w:rsidRPr="008B580E">
        <w:rPr>
          <w:rFonts w:ascii="Times New Roman" w:eastAsia="Times New Roman" w:hAnsi="Times New Roman" w:cs="Times New Roman"/>
          <w:spacing w:val="-2"/>
        </w:rPr>
        <w:t>e</w:t>
      </w:r>
      <w:r w:rsidRPr="008B580E">
        <w:rPr>
          <w:rFonts w:ascii="Times New Roman" w:eastAsia="Times New Roman" w:hAnsi="Times New Roman" w:cs="Times New Roman"/>
        </w:rPr>
        <w:t>rdo</w:t>
      </w:r>
      <w:r w:rsidRPr="008B580E">
        <w:rPr>
          <w:rFonts w:ascii="Times New Roman" w:eastAsia="Times New Roman" w:hAnsi="Times New Roman" w:cs="Times New Roman"/>
          <w:spacing w:val="1"/>
        </w:rPr>
        <w:t>s</w:t>
      </w:r>
      <w:r w:rsidRPr="008B580E">
        <w:rPr>
          <w:rFonts w:ascii="Times New Roman" w:eastAsia="Times New Roman" w:hAnsi="Times New Roman" w:cs="Times New Roman"/>
          <w:spacing w:val="-2"/>
        </w:rPr>
        <w:t>e</w:t>
      </w:r>
      <w:r w:rsidRPr="008B580E">
        <w:rPr>
          <w:rFonts w:ascii="Times New Roman" w:eastAsia="Times New Roman" w:hAnsi="Times New Roman" w:cs="Times New Roman"/>
        </w:rPr>
        <w:t>, prov</w:t>
      </w:r>
      <w:r w:rsidRPr="008B580E">
        <w:rPr>
          <w:rFonts w:ascii="Times New Roman" w:eastAsia="Times New Roman" w:hAnsi="Times New Roman" w:cs="Times New Roman"/>
          <w:spacing w:val="-2"/>
        </w:rPr>
        <w:t>i</w:t>
      </w:r>
      <w:r w:rsidRPr="008B580E">
        <w:rPr>
          <w:rFonts w:ascii="Times New Roman" w:eastAsia="Times New Roman" w:hAnsi="Times New Roman" w:cs="Times New Roman"/>
          <w:spacing w:val="5"/>
        </w:rPr>
        <w:t>d</w:t>
      </w:r>
      <w:r w:rsidRPr="008B580E">
        <w:rPr>
          <w:rFonts w:ascii="Times New Roman" w:eastAsia="Times New Roman" w:hAnsi="Times New Roman" w:cs="Times New Roman"/>
        </w:rPr>
        <w:t>e</w:t>
      </w:r>
      <w:r w:rsidRPr="008B580E">
        <w:rPr>
          <w:rFonts w:ascii="Times New Roman" w:eastAsia="Times New Roman" w:hAnsi="Times New Roman" w:cs="Times New Roman"/>
          <w:spacing w:val="-2"/>
        </w:rPr>
        <w:t xml:space="preserve"> t</w:t>
      </w:r>
      <w:r w:rsidRPr="008B580E">
        <w:rPr>
          <w:rFonts w:ascii="Times New Roman" w:eastAsia="Times New Roman" w:hAnsi="Times New Roman" w:cs="Times New Roman"/>
        </w:rPr>
        <w:t>r</w:t>
      </w:r>
      <w:r w:rsidRPr="008B580E">
        <w:rPr>
          <w:rFonts w:ascii="Times New Roman" w:eastAsia="Times New Roman" w:hAnsi="Times New Roman" w:cs="Times New Roman"/>
          <w:spacing w:val="3"/>
        </w:rPr>
        <w:t>a</w:t>
      </w:r>
      <w:r w:rsidRPr="008B580E">
        <w:rPr>
          <w:rFonts w:ascii="Times New Roman" w:eastAsia="Times New Roman" w:hAnsi="Times New Roman" w:cs="Times New Roman"/>
          <w:spacing w:val="-2"/>
        </w:rPr>
        <w:t>i</w:t>
      </w:r>
      <w:r w:rsidRPr="008B580E">
        <w:rPr>
          <w:rFonts w:ascii="Times New Roman" w:eastAsia="Times New Roman" w:hAnsi="Times New Roman" w:cs="Times New Roman"/>
        </w:rPr>
        <w:t>n</w:t>
      </w:r>
      <w:r w:rsidRPr="008B580E">
        <w:rPr>
          <w:rFonts w:ascii="Times New Roman" w:eastAsia="Times New Roman" w:hAnsi="Times New Roman" w:cs="Times New Roman"/>
          <w:spacing w:val="-2"/>
        </w:rPr>
        <w:t>i</w:t>
      </w:r>
      <w:r w:rsidRPr="008B580E">
        <w:rPr>
          <w:rFonts w:ascii="Times New Roman" w:eastAsia="Times New Roman" w:hAnsi="Times New Roman" w:cs="Times New Roman"/>
        </w:rPr>
        <w:t xml:space="preserve">ng </w:t>
      </w:r>
      <w:r w:rsidRPr="008B580E">
        <w:rPr>
          <w:rFonts w:ascii="Times New Roman" w:eastAsia="Times New Roman" w:hAnsi="Times New Roman" w:cs="Times New Roman"/>
          <w:spacing w:val="-2"/>
        </w:rPr>
        <w:t>t</w:t>
      </w:r>
      <w:r w:rsidRPr="008B580E">
        <w:rPr>
          <w:rFonts w:ascii="Times New Roman" w:eastAsia="Times New Roman" w:hAnsi="Times New Roman" w:cs="Times New Roman"/>
        </w:rPr>
        <w:t>o a</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rPr>
        <w:t>p</w:t>
      </w:r>
      <w:r w:rsidRPr="008B580E">
        <w:rPr>
          <w:rFonts w:ascii="Times New Roman" w:eastAsia="Times New Roman" w:hAnsi="Times New Roman" w:cs="Times New Roman"/>
          <w:spacing w:val="-2"/>
        </w:rPr>
        <w:t>at</w:t>
      </w:r>
      <w:r w:rsidRPr="008B580E">
        <w:rPr>
          <w:rFonts w:ascii="Times New Roman" w:eastAsia="Times New Roman" w:hAnsi="Times New Roman" w:cs="Times New Roman"/>
          <w:spacing w:val="3"/>
        </w:rPr>
        <w:t>i</w:t>
      </w:r>
      <w:r w:rsidRPr="008B580E">
        <w:rPr>
          <w:rFonts w:ascii="Times New Roman" w:eastAsia="Times New Roman" w:hAnsi="Times New Roman" w:cs="Times New Roman"/>
          <w:spacing w:val="-2"/>
        </w:rPr>
        <w:t>e</w:t>
      </w:r>
      <w:r w:rsidRPr="008B580E">
        <w:rPr>
          <w:rFonts w:ascii="Times New Roman" w:eastAsia="Times New Roman" w:hAnsi="Times New Roman" w:cs="Times New Roman"/>
        </w:rPr>
        <w:t>nt</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rPr>
        <w:t xml:space="preserve">or </w:t>
      </w:r>
      <w:r w:rsidRPr="008B580E">
        <w:rPr>
          <w:rFonts w:ascii="Times New Roman" w:eastAsia="Times New Roman" w:hAnsi="Times New Roman" w:cs="Times New Roman"/>
          <w:spacing w:val="3"/>
        </w:rPr>
        <w:t>c</w:t>
      </w:r>
      <w:r w:rsidRPr="008B580E">
        <w:rPr>
          <w:rFonts w:ascii="Times New Roman" w:eastAsia="Times New Roman" w:hAnsi="Times New Roman" w:cs="Times New Roman"/>
          <w:spacing w:val="-2"/>
        </w:rPr>
        <w:t>l</w:t>
      </w:r>
      <w:r w:rsidRPr="008B580E">
        <w:rPr>
          <w:rFonts w:ascii="Times New Roman" w:eastAsia="Times New Roman" w:hAnsi="Times New Roman" w:cs="Times New Roman"/>
        </w:rPr>
        <w:t>o</w:t>
      </w:r>
      <w:r w:rsidRPr="008B580E">
        <w:rPr>
          <w:rFonts w:ascii="Times New Roman" w:eastAsia="Times New Roman" w:hAnsi="Times New Roman" w:cs="Times New Roman"/>
          <w:spacing w:val="1"/>
        </w:rPr>
        <w:t>s</w:t>
      </w:r>
      <w:r w:rsidRPr="008B580E">
        <w:rPr>
          <w:rFonts w:ascii="Times New Roman" w:eastAsia="Times New Roman" w:hAnsi="Times New Roman" w:cs="Times New Roman"/>
        </w:rPr>
        <w:t>e</w:t>
      </w:r>
      <w:r w:rsidRPr="008B580E">
        <w:rPr>
          <w:rFonts w:ascii="Times New Roman" w:eastAsia="Times New Roman" w:hAnsi="Times New Roman" w:cs="Times New Roman"/>
          <w:spacing w:val="-2"/>
        </w:rPr>
        <w:t xml:space="preserve"> c</w:t>
      </w:r>
      <w:r w:rsidRPr="008B580E">
        <w:rPr>
          <w:rFonts w:ascii="Times New Roman" w:eastAsia="Times New Roman" w:hAnsi="Times New Roman" w:cs="Times New Roman"/>
        </w:rPr>
        <w:t>on</w:t>
      </w:r>
      <w:r w:rsidRPr="008B580E">
        <w:rPr>
          <w:rFonts w:ascii="Times New Roman" w:eastAsia="Times New Roman" w:hAnsi="Times New Roman" w:cs="Times New Roman"/>
          <w:spacing w:val="-2"/>
        </w:rPr>
        <w:t>t</w:t>
      </w:r>
      <w:r w:rsidRPr="008B580E">
        <w:rPr>
          <w:rFonts w:ascii="Times New Roman" w:eastAsia="Times New Roman" w:hAnsi="Times New Roman" w:cs="Times New Roman"/>
          <w:spacing w:val="3"/>
        </w:rPr>
        <w:t>a</w:t>
      </w:r>
      <w:r w:rsidRPr="008B580E">
        <w:rPr>
          <w:rFonts w:ascii="Times New Roman" w:eastAsia="Times New Roman" w:hAnsi="Times New Roman" w:cs="Times New Roman"/>
          <w:spacing w:val="-2"/>
        </w:rPr>
        <w:t>c</w:t>
      </w:r>
      <w:r w:rsidRPr="008B580E">
        <w:rPr>
          <w:rFonts w:ascii="Times New Roman" w:eastAsia="Times New Roman" w:hAnsi="Times New Roman" w:cs="Times New Roman"/>
        </w:rPr>
        <w:t>t</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rPr>
        <w:t>on how</w:t>
      </w:r>
      <w:r w:rsidRPr="008B580E">
        <w:rPr>
          <w:rFonts w:ascii="Times New Roman" w:eastAsia="Times New Roman" w:hAnsi="Times New Roman" w:cs="Times New Roman"/>
          <w:spacing w:val="1"/>
        </w:rPr>
        <w:t xml:space="preserve"> </w:t>
      </w:r>
      <w:r w:rsidRPr="008B580E">
        <w:rPr>
          <w:rFonts w:ascii="Times New Roman" w:eastAsia="Times New Roman" w:hAnsi="Times New Roman" w:cs="Times New Roman"/>
          <w:spacing w:val="-2"/>
        </w:rPr>
        <w:t>t</w:t>
      </w:r>
      <w:r w:rsidRPr="008B580E">
        <w:rPr>
          <w:rFonts w:ascii="Times New Roman" w:eastAsia="Times New Roman" w:hAnsi="Times New Roman" w:cs="Times New Roman"/>
        </w:rPr>
        <w:t>o</w:t>
      </w:r>
      <w:r w:rsidRPr="008B580E">
        <w:rPr>
          <w:rFonts w:ascii="Times New Roman" w:eastAsia="Times New Roman" w:hAnsi="Times New Roman" w:cs="Times New Roman"/>
          <w:spacing w:val="3"/>
        </w:rPr>
        <w:t xml:space="preserve"> </w:t>
      </w:r>
      <w:r w:rsidRPr="008B580E">
        <w:rPr>
          <w:rFonts w:ascii="Times New Roman" w:eastAsia="Times New Roman" w:hAnsi="Times New Roman" w:cs="Times New Roman"/>
        </w:rPr>
        <w:t>u</w:t>
      </w:r>
      <w:r w:rsidRPr="008B580E">
        <w:rPr>
          <w:rFonts w:ascii="Times New Roman" w:eastAsia="Times New Roman" w:hAnsi="Times New Roman" w:cs="Times New Roman"/>
          <w:spacing w:val="1"/>
        </w:rPr>
        <w:t>s</w:t>
      </w:r>
      <w:r w:rsidRPr="008B580E">
        <w:rPr>
          <w:rFonts w:ascii="Times New Roman" w:eastAsia="Times New Roman" w:hAnsi="Times New Roman" w:cs="Times New Roman"/>
        </w:rPr>
        <w:t>e</w:t>
      </w:r>
      <w:r w:rsidRPr="008B580E">
        <w:rPr>
          <w:rFonts w:ascii="Times New Roman" w:eastAsia="Times New Roman" w:hAnsi="Times New Roman" w:cs="Times New Roman"/>
          <w:spacing w:val="-2"/>
        </w:rPr>
        <w:t xml:space="preserve"> i</w:t>
      </w:r>
      <w:r w:rsidRPr="008B580E">
        <w:rPr>
          <w:rFonts w:ascii="Times New Roman" w:eastAsia="Times New Roman" w:hAnsi="Times New Roman" w:cs="Times New Roman"/>
          <w:spacing w:val="5"/>
        </w:rPr>
        <w:t>n</w:t>
      </w:r>
      <w:r w:rsidRPr="008B580E">
        <w:rPr>
          <w:rFonts w:ascii="Times New Roman" w:eastAsia="Times New Roman" w:hAnsi="Times New Roman" w:cs="Times New Roman"/>
          <w:spacing w:val="-2"/>
        </w:rPr>
        <w:t>t</w:t>
      </w:r>
      <w:r w:rsidRPr="008B580E">
        <w:rPr>
          <w:rFonts w:ascii="Times New Roman" w:eastAsia="Times New Roman" w:hAnsi="Times New Roman" w:cs="Times New Roman"/>
        </w:rPr>
        <w:t>r</w:t>
      </w:r>
      <w:r w:rsidRPr="008B580E">
        <w:rPr>
          <w:rFonts w:ascii="Times New Roman" w:eastAsia="Times New Roman" w:hAnsi="Times New Roman" w:cs="Times New Roman"/>
          <w:spacing w:val="-1"/>
        </w:rPr>
        <w:t>a</w:t>
      </w:r>
      <w:r w:rsidRPr="008B580E">
        <w:rPr>
          <w:rFonts w:ascii="Times New Roman" w:eastAsia="Times New Roman" w:hAnsi="Times New Roman" w:cs="Times New Roman"/>
        </w:rPr>
        <w:t>n</w:t>
      </w:r>
      <w:r w:rsidRPr="008B580E">
        <w:rPr>
          <w:rFonts w:ascii="Times New Roman" w:eastAsia="Times New Roman" w:hAnsi="Times New Roman" w:cs="Times New Roman"/>
          <w:spacing w:val="-2"/>
        </w:rPr>
        <w:t>a</w:t>
      </w:r>
      <w:r w:rsidRPr="008B580E">
        <w:rPr>
          <w:rFonts w:ascii="Times New Roman" w:eastAsia="Times New Roman" w:hAnsi="Times New Roman" w:cs="Times New Roman"/>
          <w:spacing w:val="1"/>
        </w:rPr>
        <w:t>s</w:t>
      </w:r>
      <w:r w:rsidRPr="008B580E">
        <w:rPr>
          <w:rFonts w:ascii="Times New Roman" w:eastAsia="Times New Roman" w:hAnsi="Times New Roman" w:cs="Times New Roman"/>
          <w:spacing w:val="3"/>
        </w:rPr>
        <w:t>a</w:t>
      </w:r>
      <w:r w:rsidRPr="008B580E">
        <w:rPr>
          <w:rFonts w:ascii="Times New Roman" w:eastAsia="Times New Roman" w:hAnsi="Times New Roman" w:cs="Times New Roman"/>
        </w:rPr>
        <w:t>l</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rPr>
        <w:t>n</w:t>
      </w:r>
      <w:r w:rsidRPr="008B580E">
        <w:rPr>
          <w:rFonts w:ascii="Times New Roman" w:eastAsia="Times New Roman" w:hAnsi="Times New Roman" w:cs="Times New Roman"/>
          <w:spacing w:val="3"/>
        </w:rPr>
        <w:t>a</w:t>
      </w:r>
      <w:r w:rsidRPr="008B580E">
        <w:rPr>
          <w:rFonts w:ascii="Times New Roman" w:eastAsia="Times New Roman" w:hAnsi="Times New Roman" w:cs="Times New Roman"/>
          <w:spacing w:val="-2"/>
        </w:rPr>
        <w:t>l</w:t>
      </w:r>
      <w:r w:rsidRPr="008B580E">
        <w:rPr>
          <w:rFonts w:ascii="Times New Roman" w:eastAsia="Times New Roman" w:hAnsi="Times New Roman" w:cs="Times New Roman"/>
        </w:rPr>
        <w:t>oxon</w:t>
      </w:r>
      <w:r w:rsidRPr="008B580E">
        <w:rPr>
          <w:rFonts w:ascii="Times New Roman" w:eastAsia="Times New Roman" w:hAnsi="Times New Roman" w:cs="Times New Roman"/>
          <w:spacing w:val="-2"/>
        </w:rPr>
        <w:t>e</w:t>
      </w:r>
      <w:r w:rsidRPr="008B580E">
        <w:rPr>
          <w:rFonts w:ascii="Times New Roman" w:eastAsia="Times New Roman" w:hAnsi="Times New Roman" w:cs="Times New Roman"/>
        </w:rPr>
        <w:t xml:space="preserve">, </w:t>
      </w:r>
      <w:r w:rsidRPr="008B580E">
        <w:rPr>
          <w:rFonts w:ascii="Times New Roman" w:eastAsia="Times New Roman" w:hAnsi="Times New Roman" w:cs="Times New Roman"/>
          <w:spacing w:val="-2"/>
        </w:rPr>
        <w:t>a</w:t>
      </w:r>
      <w:r w:rsidRPr="008B580E">
        <w:rPr>
          <w:rFonts w:ascii="Times New Roman" w:eastAsia="Times New Roman" w:hAnsi="Times New Roman" w:cs="Times New Roman"/>
        </w:rPr>
        <w:t xml:space="preserve">nd </w:t>
      </w:r>
      <w:r w:rsidRPr="008B580E">
        <w:rPr>
          <w:rFonts w:ascii="Times New Roman" w:eastAsia="Times New Roman" w:hAnsi="Times New Roman" w:cs="Times New Roman"/>
          <w:spacing w:val="-2"/>
        </w:rPr>
        <w:t>a</w:t>
      </w:r>
      <w:r w:rsidRPr="008B580E">
        <w:rPr>
          <w:rFonts w:ascii="Times New Roman" w:eastAsia="Times New Roman" w:hAnsi="Times New Roman" w:cs="Times New Roman"/>
          <w:spacing w:val="5"/>
        </w:rPr>
        <w:t>b</w:t>
      </w:r>
      <w:r w:rsidRPr="008B580E">
        <w:rPr>
          <w:rFonts w:ascii="Times New Roman" w:eastAsia="Times New Roman" w:hAnsi="Times New Roman" w:cs="Times New Roman"/>
          <w:spacing w:val="-2"/>
        </w:rPr>
        <w:t>il</w:t>
      </w:r>
      <w:r w:rsidRPr="008B580E">
        <w:rPr>
          <w:rFonts w:ascii="Times New Roman" w:eastAsia="Times New Roman" w:hAnsi="Times New Roman" w:cs="Times New Roman"/>
          <w:spacing w:val="3"/>
        </w:rPr>
        <w:t>i</w:t>
      </w:r>
      <w:r w:rsidRPr="008B580E">
        <w:rPr>
          <w:rFonts w:ascii="Times New Roman" w:eastAsia="Times New Roman" w:hAnsi="Times New Roman" w:cs="Times New Roman"/>
          <w:spacing w:val="-2"/>
        </w:rPr>
        <w:t>t</w:t>
      </w:r>
      <w:r w:rsidRPr="008B580E">
        <w:rPr>
          <w:rFonts w:ascii="Times New Roman" w:eastAsia="Times New Roman" w:hAnsi="Times New Roman" w:cs="Times New Roman"/>
        </w:rPr>
        <w:t xml:space="preserve">y </w:t>
      </w:r>
      <w:r w:rsidRPr="008B580E">
        <w:rPr>
          <w:rFonts w:ascii="Times New Roman" w:eastAsia="Times New Roman" w:hAnsi="Times New Roman" w:cs="Times New Roman"/>
          <w:spacing w:val="-2"/>
        </w:rPr>
        <w:t>t</w:t>
      </w:r>
      <w:r w:rsidRPr="008B580E">
        <w:rPr>
          <w:rFonts w:ascii="Times New Roman" w:eastAsia="Times New Roman" w:hAnsi="Times New Roman" w:cs="Times New Roman"/>
        </w:rPr>
        <w:t>o g</w:t>
      </w:r>
      <w:r w:rsidRPr="008B580E">
        <w:rPr>
          <w:rFonts w:ascii="Times New Roman" w:eastAsia="Times New Roman" w:hAnsi="Times New Roman" w:cs="Times New Roman"/>
          <w:spacing w:val="-2"/>
        </w:rPr>
        <w:t>i</w:t>
      </w:r>
      <w:r w:rsidRPr="008B580E">
        <w:rPr>
          <w:rFonts w:ascii="Times New Roman" w:eastAsia="Times New Roman" w:hAnsi="Times New Roman" w:cs="Times New Roman"/>
          <w:spacing w:val="5"/>
        </w:rPr>
        <w:t>v</w:t>
      </w:r>
      <w:r w:rsidRPr="008B580E">
        <w:rPr>
          <w:rFonts w:ascii="Times New Roman" w:eastAsia="Times New Roman" w:hAnsi="Times New Roman" w:cs="Times New Roman"/>
        </w:rPr>
        <w:t>e</w:t>
      </w:r>
      <w:r w:rsidRPr="008B580E">
        <w:rPr>
          <w:rFonts w:ascii="Times New Roman" w:eastAsia="Times New Roman" w:hAnsi="Times New Roman" w:cs="Times New Roman"/>
          <w:spacing w:val="-2"/>
        </w:rPr>
        <w:t xml:space="preserve"> i</w:t>
      </w:r>
      <w:r w:rsidRPr="008B580E">
        <w:rPr>
          <w:rFonts w:ascii="Times New Roman" w:eastAsia="Times New Roman" w:hAnsi="Times New Roman" w:cs="Times New Roman"/>
        </w:rPr>
        <w:t>n</w:t>
      </w:r>
      <w:r w:rsidRPr="008B580E">
        <w:rPr>
          <w:rFonts w:ascii="Times New Roman" w:eastAsia="Times New Roman" w:hAnsi="Times New Roman" w:cs="Times New Roman"/>
          <w:spacing w:val="-2"/>
        </w:rPr>
        <w:t>t</w:t>
      </w:r>
      <w:r w:rsidRPr="008B580E">
        <w:rPr>
          <w:rFonts w:ascii="Times New Roman" w:eastAsia="Times New Roman" w:hAnsi="Times New Roman" w:cs="Times New Roman"/>
          <w:spacing w:val="5"/>
        </w:rPr>
        <w:t>r</w:t>
      </w:r>
      <w:r w:rsidRPr="008B580E">
        <w:rPr>
          <w:rFonts w:ascii="Times New Roman" w:eastAsia="Times New Roman" w:hAnsi="Times New Roman" w:cs="Times New Roman"/>
          <w:spacing w:val="-2"/>
        </w:rPr>
        <w:t>a</w:t>
      </w:r>
      <w:r w:rsidRPr="008B580E">
        <w:rPr>
          <w:rFonts w:ascii="Times New Roman" w:eastAsia="Times New Roman" w:hAnsi="Times New Roman" w:cs="Times New Roman"/>
        </w:rPr>
        <w:t>n</w:t>
      </w:r>
      <w:r w:rsidRPr="008B580E">
        <w:rPr>
          <w:rFonts w:ascii="Times New Roman" w:eastAsia="Times New Roman" w:hAnsi="Times New Roman" w:cs="Times New Roman"/>
          <w:spacing w:val="-2"/>
        </w:rPr>
        <w:t>a</w:t>
      </w:r>
      <w:r w:rsidRPr="008B580E">
        <w:rPr>
          <w:rFonts w:ascii="Times New Roman" w:eastAsia="Times New Roman" w:hAnsi="Times New Roman" w:cs="Times New Roman"/>
          <w:spacing w:val="1"/>
        </w:rPr>
        <w:t>s</w:t>
      </w:r>
      <w:r w:rsidRPr="008B580E">
        <w:rPr>
          <w:rFonts w:ascii="Times New Roman" w:eastAsia="Times New Roman" w:hAnsi="Times New Roman" w:cs="Times New Roman"/>
          <w:spacing w:val="-2"/>
        </w:rPr>
        <w:t>a</w:t>
      </w:r>
      <w:r w:rsidRPr="008B580E">
        <w:rPr>
          <w:rFonts w:ascii="Times New Roman" w:eastAsia="Times New Roman" w:hAnsi="Times New Roman" w:cs="Times New Roman"/>
        </w:rPr>
        <w:t>l n</w:t>
      </w:r>
      <w:r w:rsidRPr="008B580E">
        <w:rPr>
          <w:rFonts w:ascii="Times New Roman" w:eastAsia="Times New Roman" w:hAnsi="Times New Roman" w:cs="Times New Roman"/>
          <w:spacing w:val="-2"/>
        </w:rPr>
        <w:t>al</w:t>
      </w:r>
      <w:r w:rsidRPr="008B580E">
        <w:rPr>
          <w:rFonts w:ascii="Times New Roman" w:eastAsia="Times New Roman" w:hAnsi="Times New Roman" w:cs="Times New Roman"/>
        </w:rPr>
        <w:t>oxone</w:t>
      </w:r>
      <w:r w:rsidRPr="008B580E">
        <w:rPr>
          <w:rFonts w:ascii="Times New Roman" w:eastAsia="Times New Roman" w:hAnsi="Times New Roman" w:cs="Times New Roman"/>
          <w:spacing w:val="-2"/>
        </w:rPr>
        <w:t xml:space="preserve"> t</w:t>
      </w:r>
      <w:r w:rsidRPr="008B580E">
        <w:rPr>
          <w:rFonts w:ascii="Times New Roman" w:eastAsia="Times New Roman" w:hAnsi="Times New Roman" w:cs="Times New Roman"/>
        </w:rPr>
        <w:t xml:space="preserve">o </w:t>
      </w:r>
      <w:r w:rsidRPr="008B580E">
        <w:rPr>
          <w:rFonts w:ascii="Times New Roman" w:eastAsia="Times New Roman" w:hAnsi="Times New Roman" w:cs="Times New Roman"/>
          <w:spacing w:val="1"/>
        </w:rPr>
        <w:t>s</w:t>
      </w:r>
      <w:r w:rsidRPr="008B580E">
        <w:rPr>
          <w:rFonts w:ascii="Times New Roman" w:eastAsia="Times New Roman" w:hAnsi="Times New Roman" w:cs="Times New Roman"/>
        </w:rPr>
        <w:t>o</w:t>
      </w:r>
      <w:r w:rsidRPr="008B580E">
        <w:rPr>
          <w:rFonts w:ascii="Times New Roman" w:eastAsia="Times New Roman" w:hAnsi="Times New Roman" w:cs="Times New Roman"/>
          <w:spacing w:val="3"/>
        </w:rPr>
        <w:t>m</w:t>
      </w:r>
      <w:r w:rsidRPr="008B580E">
        <w:rPr>
          <w:rFonts w:ascii="Times New Roman" w:eastAsia="Times New Roman" w:hAnsi="Times New Roman" w:cs="Times New Roman"/>
          <w:spacing w:val="-2"/>
        </w:rPr>
        <w:t>e</w:t>
      </w:r>
      <w:r w:rsidRPr="008B580E">
        <w:rPr>
          <w:rFonts w:ascii="Times New Roman" w:eastAsia="Times New Roman" w:hAnsi="Times New Roman" w:cs="Times New Roman"/>
        </w:rPr>
        <w:t>one.</w:t>
      </w:r>
    </w:p>
    <w:p w14:paraId="7D13F5AB" w14:textId="77777777" w:rsidR="005B56E3" w:rsidRPr="008B580E" w:rsidRDefault="005B56E3" w:rsidP="005B56E3">
      <w:pPr>
        <w:spacing w:before="3" w:line="160" w:lineRule="exact"/>
      </w:pPr>
    </w:p>
    <w:p w14:paraId="01C49EC8" w14:textId="77777777" w:rsidR="005B56E3" w:rsidRPr="008B580E" w:rsidRDefault="005B56E3" w:rsidP="005B56E3">
      <w:pPr>
        <w:spacing w:line="260" w:lineRule="auto"/>
        <w:ind w:left="101" w:right="522"/>
      </w:pPr>
      <w:r w:rsidRPr="008B580E">
        <w:rPr>
          <w:rFonts w:ascii="Times New Roman" w:eastAsia="Times New Roman" w:hAnsi="Times New Roman" w:cs="Times New Roman"/>
          <w:b/>
          <w:spacing w:val="1"/>
        </w:rPr>
        <w:t>C</w:t>
      </w:r>
      <w:r w:rsidRPr="008B580E">
        <w:rPr>
          <w:rFonts w:ascii="Times New Roman" w:eastAsia="Times New Roman" w:hAnsi="Times New Roman" w:cs="Times New Roman"/>
          <w:b/>
        </w:rPr>
        <w:t>o</w:t>
      </w:r>
      <w:r w:rsidRPr="008B580E">
        <w:rPr>
          <w:rFonts w:ascii="Times New Roman" w:eastAsia="Times New Roman" w:hAnsi="Times New Roman" w:cs="Times New Roman"/>
          <w:b/>
          <w:spacing w:val="1"/>
        </w:rPr>
        <w:t>n</w:t>
      </w:r>
      <w:r w:rsidRPr="008B580E">
        <w:rPr>
          <w:rFonts w:ascii="Times New Roman" w:eastAsia="Times New Roman" w:hAnsi="Times New Roman" w:cs="Times New Roman"/>
          <w:b/>
          <w:spacing w:val="-2"/>
        </w:rPr>
        <w:t>cl</w:t>
      </w:r>
      <w:r w:rsidRPr="008B580E">
        <w:rPr>
          <w:rFonts w:ascii="Times New Roman" w:eastAsia="Times New Roman" w:hAnsi="Times New Roman" w:cs="Times New Roman"/>
          <w:b/>
          <w:spacing w:val="1"/>
        </w:rPr>
        <w:t>us</w:t>
      </w:r>
      <w:r w:rsidRPr="008B580E">
        <w:rPr>
          <w:rFonts w:ascii="Times New Roman" w:eastAsia="Times New Roman" w:hAnsi="Times New Roman" w:cs="Times New Roman"/>
          <w:b/>
          <w:spacing w:val="-2"/>
        </w:rPr>
        <w:t>i</w:t>
      </w:r>
      <w:r w:rsidRPr="008B580E">
        <w:rPr>
          <w:rFonts w:ascii="Times New Roman" w:eastAsia="Times New Roman" w:hAnsi="Times New Roman" w:cs="Times New Roman"/>
          <w:b/>
        </w:rPr>
        <w:t>o</w:t>
      </w:r>
      <w:r w:rsidRPr="008B580E">
        <w:rPr>
          <w:rFonts w:ascii="Times New Roman" w:eastAsia="Times New Roman" w:hAnsi="Times New Roman" w:cs="Times New Roman"/>
          <w:b/>
          <w:spacing w:val="1"/>
        </w:rPr>
        <w:t>ns</w:t>
      </w:r>
      <w:r w:rsidRPr="008B580E">
        <w:rPr>
          <w:rFonts w:ascii="Times New Roman" w:eastAsia="Times New Roman" w:hAnsi="Times New Roman" w:cs="Times New Roman"/>
          <w:b/>
        </w:rPr>
        <w:t>:</w:t>
      </w:r>
      <w:r w:rsidRPr="008B580E">
        <w:rPr>
          <w:rFonts w:ascii="Times New Roman" w:eastAsia="Times New Roman" w:hAnsi="Times New Roman" w:cs="Times New Roman"/>
          <w:b/>
          <w:spacing w:val="2"/>
        </w:rPr>
        <w:t xml:space="preserve"> </w:t>
      </w:r>
      <w:r w:rsidRPr="008B580E">
        <w:rPr>
          <w:rFonts w:ascii="Times New Roman" w:eastAsia="Times New Roman" w:hAnsi="Times New Roman" w:cs="Times New Roman"/>
          <w:spacing w:val="-1"/>
        </w:rPr>
        <w:t>T</w:t>
      </w:r>
      <w:r w:rsidRPr="008B580E">
        <w:rPr>
          <w:rFonts w:ascii="Times New Roman" w:eastAsia="Times New Roman" w:hAnsi="Times New Roman" w:cs="Times New Roman"/>
          <w:spacing w:val="2"/>
        </w:rPr>
        <w:t>H</w:t>
      </w:r>
      <w:r w:rsidRPr="008B580E">
        <w:rPr>
          <w:rFonts w:ascii="Times New Roman" w:eastAsia="Times New Roman" w:hAnsi="Times New Roman" w:cs="Times New Roman"/>
        </w:rPr>
        <w:t>N</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rPr>
        <w:t>progr</w:t>
      </w:r>
      <w:r w:rsidRPr="008B580E">
        <w:rPr>
          <w:rFonts w:ascii="Times New Roman" w:eastAsia="Times New Roman" w:hAnsi="Times New Roman" w:cs="Times New Roman"/>
          <w:spacing w:val="-1"/>
        </w:rPr>
        <w:t>a</w:t>
      </w:r>
      <w:r w:rsidRPr="008B580E">
        <w:rPr>
          <w:rFonts w:ascii="Times New Roman" w:eastAsia="Times New Roman" w:hAnsi="Times New Roman" w:cs="Times New Roman"/>
          <w:spacing w:val="-2"/>
        </w:rPr>
        <w:t>m</w:t>
      </w:r>
      <w:r w:rsidRPr="008B580E">
        <w:rPr>
          <w:rFonts w:ascii="Times New Roman" w:eastAsia="Times New Roman" w:hAnsi="Times New Roman" w:cs="Times New Roman"/>
        </w:rPr>
        <w:t>s</w:t>
      </w:r>
      <w:r w:rsidRPr="008B580E">
        <w:rPr>
          <w:rFonts w:ascii="Times New Roman" w:eastAsia="Times New Roman" w:hAnsi="Times New Roman" w:cs="Times New Roman"/>
          <w:spacing w:val="1"/>
        </w:rPr>
        <w:t xml:space="preserve"> </w:t>
      </w:r>
      <w:r w:rsidRPr="008B580E">
        <w:rPr>
          <w:rFonts w:ascii="Times New Roman" w:eastAsia="Times New Roman" w:hAnsi="Times New Roman" w:cs="Times New Roman"/>
          <w:spacing w:val="-2"/>
        </w:rPr>
        <w:t>ca</w:t>
      </w:r>
      <w:r w:rsidRPr="008B580E">
        <w:rPr>
          <w:rFonts w:ascii="Times New Roman" w:eastAsia="Times New Roman" w:hAnsi="Times New Roman" w:cs="Times New Roman"/>
        </w:rPr>
        <w:t>n be</w:t>
      </w:r>
      <w:r w:rsidRPr="008B580E">
        <w:rPr>
          <w:rFonts w:ascii="Times New Roman" w:eastAsia="Times New Roman" w:hAnsi="Times New Roman" w:cs="Times New Roman"/>
          <w:spacing w:val="-2"/>
        </w:rPr>
        <w:t xml:space="preserve"> im</w:t>
      </w:r>
      <w:r w:rsidRPr="008B580E">
        <w:rPr>
          <w:rFonts w:ascii="Times New Roman" w:eastAsia="Times New Roman" w:hAnsi="Times New Roman" w:cs="Times New Roman"/>
        </w:rPr>
        <w:t>p</w:t>
      </w:r>
      <w:r w:rsidRPr="008B580E">
        <w:rPr>
          <w:rFonts w:ascii="Times New Roman" w:eastAsia="Times New Roman" w:hAnsi="Times New Roman" w:cs="Times New Roman"/>
          <w:spacing w:val="-2"/>
        </w:rPr>
        <w:t>l</w:t>
      </w:r>
      <w:r w:rsidRPr="008B580E">
        <w:rPr>
          <w:rFonts w:ascii="Times New Roman" w:eastAsia="Times New Roman" w:hAnsi="Times New Roman" w:cs="Times New Roman"/>
          <w:spacing w:val="3"/>
        </w:rPr>
        <w:t>e</w:t>
      </w:r>
      <w:r w:rsidRPr="008B580E">
        <w:rPr>
          <w:rFonts w:ascii="Times New Roman" w:eastAsia="Times New Roman" w:hAnsi="Times New Roman" w:cs="Times New Roman"/>
          <w:spacing w:val="-2"/>
        </w:rPr>
        <w:t>me</w:t>
      </w:r>
      <w:r w:rsidRPr="008B580E">
        <w:rPr>
          <w:rFonts w:ascii="Times New Roman" w:eastAsia="Times New Roman" w:hAnsi="Times New Roman" w:cs="Times New Roman"/>
        </w:rPr>
        <w:t>n</w:t>
      </w:r>
      <w:r w:rsidRPr="008B580E">
        <w:rPr>
          <w:rFonts w:ascii="Times New Roman" w:eastAsia="Times New Roman" w:hAnsi="Times New Roman" w:cs="Times New Roman"/>
          <w:spacing w:val="3"/>
        </w:rPr>
        <w:t>t</w:t>
      </w:r>
      <w:r w:rsidRPr="008B580E">
        <w:rPr>
          <w:rFonts w:ascii="Times New Roman" w:eastAsia="Times New Roman" w:hAnsi="Times New Roman" w:cs="Times New Roman"/>
          <w:spacing w:val="-2"/>
        </w:rPr>
        <w:t>e</w:t>
      </w:r>
      <w:r w:rsidRPr="008B580E">
        <w:rPr>
          <w:rFonts w:ascii="Times New Roman" w:eastAsia="Times New Roman" w:hAnsi="Times New Roman" w:cs="Times New Roman"/>
        </w:rPr>
        <w:t xml:space="preserve">d </w:t>
      </w:r>
      <w:r w:rsidRPr="008B580E">
        <w:rPr>
          <w:rFonts w:ascii="Times New Roman" w:eastAsia="Times New Roman" w:hAnsi="Times New Roman" w:cs="Times New Roman"/>
          <w:spacing w:val="1"/>
        </w:rPr>
        <w:t>s</w:t>
      </w:r>
      <w:r w:rsidRPr="008B580E">
        <w:rPr>
          <w:rFonts w:ascii="Times New Roman" w:eastAsia="Times New Roman" w:hAnsi="Times New Roman" w:cs="Times New Roman"/>
        </w:rPr>
        <w:t>u</w:t>
      </w:r>
      <w:r w:rsidRPr="008B580E">
        <w:rPr>
          <w:rFonts w:ascii="Times New Roman" w:eastAsia="Times New Roman" w:hAnsi="Times New Roman" w:cs="Times New Roman"/>
          <w:spacing w:val="-2"/>
        </w:rPr>
        <w:t>cce</w:t>
      </w:r>
      <w:r w:rsidRPr="008B580E">
        <w:rPr>
          <w:rFonts w:ascii="Times New Roman" w:eastAsia="Times New Roman" w:hAnsi="Times New Roman" w:cs="Times New Roman"/>
          <w:spacing w:val="1"/>
        </w:rPr>
        <w:t>ss</w:t>
      </w:r>
      <w:r w:rsidRPr="008B580E">
        <w:rPr>
          <w:rFonts w:ascii="Times New Roman" w:eastAsia="Times New Roman" w:hAnsi="Times New Roman" w:cs="Times New Roman"/>
        </w:rPr>
        <w:t>fu</w:t>
      </w:r>
      <w:r w:rsidRPr="008B580E">
        <w:rPr>
          <w:rFonts w:ascii="Times New Roman" w:eastAsia="Times New Roman" w:hAnsi="Times New Roman" w:cs="Times New Roman"/>
          <w:spacing w:val="-2"/>
        </w:rPr>
        <w:t>ll</w:t>
      </w:r>
      <w:r w:rsidRPr="008B580E">
        <w:rPr>
          <w:rFonts w:ascii="Times New Roman" w:eastAsia="Times New Roman" w:hAnsi="Times New Roman" w:cs="Times New Roman"/>
        </w:rPr>
        <w:t xml:space="preserve">y </w:t>
      </w:r>
      <w:r w:rsidRPr="008B580E">
        <w:rPr>
          <w:rFonts w:ascii="Times New Roman" w:eastAsia="Times New Roman" w:hAnsi="Times New Roman" w:cs="Times New Roman"/>
          <w:spacing w:val="-2"/>
        </w:rPr>
        <w:t>i</w:t>
      </w:r>
      <w:r w:rsidRPr="008B580E">
        <w:rPr>
          <w:rFonts w:ascii="Times New Roman" w:eastAsia="Times New Roman" w:hAnsi="Times New Roman" w:cs="Times New Roman"/>
        </w:rPr>
        <w:t>n</w:t>
      </w:r>
      <w:r w:rsidRPr="008B580E">
        <w:rPr>
          <w:rFonts w:ascii="Times New Roman" w:eastAsia="Times New Roman" w:hAnsi="Times New Roman" w:cs="Times New Roman"/>
          <w:spacing w:val="9"/>
        </w:rPr>
        <w:t xml:space="preserve"> </w:t>
      </w:r>
      <w:r w:rsidRPr="008B580E">
        <w:rPr>
          <w:rFonts w:ascii="Times New Roman" w:eastAsia="Times New Roman" w:hAnsi="Times New Roman" w:cs="Times New Roman"/>
          <w:spacing w:val="-2"/>
        </w:rPr>
        <w:t>E</w:t>
      </w:r>
      <w:r w:rsidRPr="008B580E">
        <w:rPr>
          <w:rFonts w:ascii="Times New Roman" w:eastAsia="Times New Roman" w:hAnsi="Times New Roman" w:cs="Times New Roman"/>
          <w:spacing w:val="1"/>
        </w:rPr>
        <w:t>D</w:t>
      </w:r>
      <w:r w:rsidRPr="008B580E">
        <w:rPr>
          <w:rFonts w:ascii="Times New Roman" w:eastAsia="Times New Roman" w:hAnsi="Times New Roman" w:cs="Times New Roman"/>
        </w:rPr>
        <w:t>s</w:t>
      </w:r>
      <w:r w:rsidRPr="008B580E">
        <w:rPr>
          <w:rFonts w:ascii="Times New Roman" w:eastAsia="Times New Roman" w:hAnsi="Times New Roman" w:cs="Times New Roman"/>
          <w:spacing w:val="2"/>
        </w:rPr>
        <w:t xml:space="preserve"> </w:t>
      </w:r>
      <w:r w:rsidRPr="008B580E">
        <w:rPr>
          <w:rFonts w:ascii="Times New Roman" w:eastAsia="Times New Roman" w:hAnsi="Times New Roman" w:cs="Times New Roman"/>
          <w:spacing w:val="-2"/>
        </w:rPr>
        <w:t>t</w:t>
      </w:r>
      <w:r w:rsidRPr="008B580E">
        <w:rPr>
          <w:rFonts w:ascii="Times New Roman" w:eastAsia="Times New Roman" w:hAnsi="Times New Roman" w:cs="Times New Roman"/>
        </w:rPr>
        <w:t xml:space="preserve">o </w:t>
      </w:r>
      <w:r w:rsidRPr="008B580E">
        <w:rPr>
          <w:rFonts w:ascii="Times New Roman" w:eastAsia="Times New Roman" w:hAnsi="Times New Roman" w:cs="Times New Roman"/>
          <w:spacing w:val="-2"/>
        </w:rPr>
        <w:t>i</w:t>
      </w:r>
      <w:r w:rsidRPr="008B580E">
        <w:rPr>
          <w:rFonts w:ascii="Times New Roman" w:eastAsia="Times New Roman" w:hAnsi="Times New Roman" w:cs="Times New Roman"/>
        </w:rPr>
        <w:t>n</w:t>
      </w:r>
      <w:r w:rsidRPr="008B580E">
        <w:rPr>
          <w:rFonts w:ascii="Times New Roman" w:eastAsia="Times New Roman" w:hAnsi="Times New Roman" w:cs="Times New Roman"/>
          <w:spacing w:val="-2"/>
        </w:rPr>
        <w:t>c</w:t>
      </w:r>
      <w:r w:rsidRPr="008B580E">
        <w:rPr>
          <w:rFonts w:ascii="Times New Roman" w:eastAsia="Times New Roman" w:hAnsi="Times New Roman" w:cs="Times New Roman"/>
        </w:rPr>
        <w:t>r</w:t>
      </w:r>
      <w:r w:rsidRPr="008B580E">
        <w:rPr>
          <w:rFonts w:ascii="Times New Roman" w:eastAsia="Times New Roman" w:hAnsi="Times New Roman" w:cs="Times New Roman"/>
          <w:spacing w:val="3"/>
        </w:rPr>
        <w:t>e</w:t>
      </w:r>
      <w:r w:rsidRPr="008B580E">
        <w:rPr>
          <w:rFonts w:ascii="Times New Roman" w:eastAsia="Times New Roman" w:hAnsi="Times New Roman" w:cs="Times New Roman"/>
          <w:spacing w:val="-2"/>
        </w:rPr>
        <w:t>a</w:t>
      </w:r>
      <w:r w:rsidRPr="008B580E">
        <w:rPr>
          <w:rFonts w:ascii="Times New Roman" w:eastAsia="Times New Roman" w:hAnsi="Times New Roman" w:cs="Times New Roman"/>
          <w:spacing w:val="1"/>
        </w:rPr>
        <w:t>s</w:t>
      </w:r>
      <w:r w:rsidRPr="008B580E">
        <w:rPr>
          <w:rFonts w:ascii="Times New Roman" w:eastAsia="Times New Roman" w:hAnsi="Times New Roman" w:cs="Times New Roman"/>
        </w:rPr>
        <w:t>e</w:t>
      </w:r>
      <w:r w:rsidRPr="008B580E">
        <w:rPr>
          <w:rFonts w:ascii="Times New Roman" w:eastAsia="Times New Roman" w:hAnsi="Times New Roman" w:cs="Times New Roman"/>
          <w:spacing w:val="-2"/>
        </w:rPr>
        <w:t xml:space="preserve"> ac</w:t>
      </w:r>
      <w:r w:rsidRPr="008B580E">
        <w:rPr>
          <w:rFonts w:ascii="Times New Roman" w:eastAsia="Times New Roman" w:hAnsi="Times New Roman" w:cs="Times New Roman"/>
          <w:spacing w:val="3"/>
        </w:rPr>
        <w:t>c</w:t>
      </w:r>
      <w:r w:rsidRPr="008B580E">
        <w:rPr>
          <w:rFonts w:ascii="Times New Roman" w:eastAsia="Times New Roman" w:hAnsi="Times New Roman" w:cs="Times New Roman"/>
          <w:spacing w:val="-2"/>
        </w:rPr>
        <w:t>e</w:t>
      </w:r>
      <w:r w:rsidRPr="008B580E">
        <w:rPr>
          <w:rFonts w:ascii="Times New Roman" w:eastAsia="Times New Roman" w:hAnsi="Times New Roman" w:cs="Times New Roman"/>
          <w:spacing w:val="1"/>
        </w:rPr>
        <w:t>s</w:t>
      </w:r>
      <w:r w:rsidRPr="008B580E">
        <w:rPr>
          <w:rFonts w:ascii="Times New Roman" w:eastAsia="Times New Roman" w:hAnsi="Times New Roman" w:cs="Times New Roman"/>
        </w:rPr>
        <w:t>s</w:t>
      </w:r>
      <w:r w:rsidRPr="008B580E">
        <w:rPr>
          <w:rFonts w:ascii="Times New Roman" w:eastAsia="Times New Roman" w:hAnsi="Times New Roman" w:cs="Times New Roman"/>
          <w:spacing w:val="1"/>
        </w:rPr>
        <w:t xml:space="preserve"> </w:t>
      </w:r>
      <w:r w:rsidRPr="008B580E">
        <w:rPr>
          <w:rFonts w:ascii="Times New Roman" w:eastAsia="Times New Roman" w:hAnsi="Times New Roman" w:cs="Times New Roman"/>
          <w:spacing w:val="-2"/>
        </w:rPr>
        <w:t>t</w:t>
      </w:r>
      <w:r w:rsidRPr="008B580E">
        <w:rPr>
          <w:rFonts w:ascii="Times New Roman" w:eastAsia="Times New Roman" w:hAnsi="Times New Roman" w:cs="Times New Roman"/>
        </w:rPr>
        <w:t>o n</w:t>
      </w:r>
      <w:r w:rsidRPr="008B580E">
        <w:rPr>
          <w:rFonts w:ascii="Times New Roman" w:eastAsia="Times New Roman" w:hAnsi="Times New Roman" w:cs="Times New Roman"/>
          <w:spacing w:val="-2"/>
        </w:rPr>
        <w:t>al</w:t>
      </w:r>
      <w:r w:rsidRPr="008B580E">
        <w:rPr>
          <w:rFonts w:ascii="Times New Roman" w:eastAsia="Times New Roman" w:hAnsi="Times New Roman" w:cs="Times New Roman"/>
        </w:rPr>
        <w:t>oxon</w:t>
      </w:r>
      <w:r w:rsidRPr="008B580E">
        <w:rPr>
          <w:rFonts w:ascii="Times New Roman" w:eastAsia="Times New Roman" w:hAnsi="Times New Roman" w:cs="Times New Roman"/>
          <w:spacing w:val="-2"/>
        </w:rPr>
        <w:t>e</w:t>
      </w:r>
      <w:r w:rsidRPr="008B580E">
        <w:rPr>
          <w:rFonts w:ascii="Times New Roman" w:eastAsia="Times New Roman" w:hAnsi="Times New Roman" w:cs="Times New Roman"/>
        </w:rPr>
        <w:t xml:space="preserve">, </w:t>
      </w:r>
      <w:r w:rsidRPr="008B580E">
        <w:rPr>
          <w:rFonts w:ascii="Times New Roman" w:eastAsia="Times New Roman" w:hAnsi="Times New Roman" w:cs="Times New Roman"/>
          <w:spacing w:val="-2"/>
        </w:rPr>
        <w:t>a</w:t>
      </w:r>
      <w:r w:rsidRPr="008B580E">
        <w:rPr>
          <w:rFonts w:ascii="Times New Roman" w:eastAsia="Times New Roman" w:hAnsi="Times New Roman" w:cs="Times New Roman"/>
          <w:spacing w:val="1"/>
        </w:rPr>
        <w:t>w</w:t>
      </w:r>
      <w:r w:rsidRPr="008B580E">
        <w:rPr>
          <w:rFonts w:ascii="Times New Roman" w:eastAsia="Times New Roman" w:hAnsi="Times New Roman" w:cs="Times New Roman"/>
          <w:spacing w:val="-2"/>
        </w:rPr>
        <w:t>a</w:t>
      </w:r>
      <w:r w:rsidRPr="008B580E">
        <w:rPr>
          <w:rFonts w:ascii="Times New Roman" w:eastAsia="Times New Roman" w:hAnsi="Times New Roman" w:cs="Times New Roman"/>
          <w:spacing w:val="5"/>
        </w:rPr>
        <w:t>r</w:t>
      </w:r>
      <w:r w:rsidRPr="008B580E">
        <w:rPr>
          <w:rFonts w:ascii="Times New Roman" w:eastAsia="Times New Roman" w:hAnsi="Times New Roman" w:cs="Times New Roman"/>
          <w:spacing w:val="-2"/>
        </w:rPr>
        <w:t>e</w:t>
      </w:r>
      <w:r w:rsidRPr="008B580E">
        <w:rPr>
          <w:rFonts w:ascii="Times New Roman" w:eastAsia="Times New Roman" w:hAnsi="Times New Roman" w:cs="Times New Roman"/>
        </w:rPr>
        <w:t>n</w:t>
      </w:r>
      <w:r w:rsidRPr="008B580E">
        <w:rPr>
          <w:rFonts w:ascii="Times New Roman" w:eastAsia="Times New Roman" w:hAnsi="Times New Roman" w:cs="Times New Roman"/>
          <w:spacing w:val="-2"/>
        </w:rPr>
        <w:t>e</w:t>
      </w:r>
      <w:r w:rsidRPr="008B580E">
        <w:rPr>
          <w:rFonts w:ascii="Times New Roman" w:eastAsia="Times New Roman" w:hAnsi="Times New Roman" w:cs="Times New Roman"/>
          <w:spacing w:val="1"/>
        </w:rPr>
        <w:t>s</w:t>
      </w:r>
      <w:r w:rsidRPr="008B580E">
        <w:rPr>
          <w:rFonts w:ascii="Times New Roman" w:eastAsia="Times New Roman" w:hAnsi="Times New Roman" w:cs="Times New Roman"/>
        </w:rPr>
        <w:t>s</w:t>
      </w:r>
      <w:r w:rsidRPr="008B580E">
        <w:rPr>
          <w:rFonts w:ascii="Times New Roman" w:eastAsia="Times New Roman" w:hAnsi="Times New Roman" w:cs="Times New Roman"/>
          <w:spacing w:val="1"/>
        </w:rPr>
        <w:t xml:space="preserve"> </w:t>
      </w:r>
      <w:r w:rsidRPr="008B580E">
        <w:rPr>
          <w:rFonts w:ascii="Times New Roman" w:eastAsia="Times New Roman" w:hAnsi="Times New Roman" w:cs="Times New Roman"/>
        </w:rPr>
        <w:t xml:space="preserve">of </w:t>
      </w:r>
      <w:r w:rsidRPr="008B580E">
        <w:rPr>
          <w:rFonts w:ascii="Times New Roman" w:eastAsia="Times New Roman" w:hAnsi="Times New Roman" w:cs="Times New Roman"/>
          <w:spacing w:val="-1"/>
        </w:rPr>
        <w:t>a</w:t>
      </w:r>
      <w:r w:rsidRPr="008B580E">
        <w:rPr>
          <w:rFonts w:ascii="Times New Roman" w:eastAsia="Times New Roman" w:hAnsi="Times New Roman" w:cs="Times New Roman"/>
        </w:rPr>
        <w:t>nd pr</w:t>
      </w:r>
      <w:r w:rsidRPr="008B580E">
        <w:rPr>
          <w:rFonts w:ascii="Times New Roman" w:eastAsia="Times New Roman" w:hAnsi="Times New Roman" w:cs="Times New Roman"/>
          <w:spacing w:val="-1"/>
        </w:rPr>
        <w:t>e</w:t>
      </w:r>
      <w:r w:rsidRPr="008B580E">
        <w:rPr>
          <w:rFonts w:ascii="Times New Roman" w:eastAsia="Times New Roman" w:hAnsi="Times New Roman" w:cs="Times New Roman"/>
        </w:rPr>
        <w:t>v</w:t>
      </w:r>
      <w:r w:rsidRPr="008B580E">
        <w:rPr>
          <w:rFonts w:ascii="Times New Roman" w:eastAsia="Times New Roman" w:hAnsi="Times New Roman" w:cs="Times New Roman"/>
          <w:spacing w:val="-2"/>
        </w:rPr>
        <w:t>e</w:t>
      </w:r>
      <w:r w:rsidRPr="008B580E">
        <w:rPr>
          <w:rFonts w:ascii="Times New Roman" w:eastAsia="Times New Roman" w:hAnsi="Times New Roman" w:cs="Times New Roman"/>
        </w:rPr>
        <w:t>nt</w:t>
      </w:r>
      <w:r w:rsidRPr="008B580E">
        <w:rPr>
          <w:rFonts w:ascii="Times New Roman" w:eastAsia="Times New Roman" w:hAnsi="Times New Roman" w:cs="Times New Roman"/>
          <w:spacing w:val="1"/>
        </w:rPr>
        <w:t xml:space="preserve"> O</w:t>
      </w:r>
      <w:r w:rsidRPr="008B580E">
        <w:rPr>
          <w:rFonts w:ascii="Times New Roman" w:eastAsia="Times New Roman" w:hAnsi="Times New Roman" w:cs="Times New Roman"/>
        </w:rPr>
        <w:t>RO</w:t>
      </w:r>
      <w:r w:rsidRPr="008B580E">
        <w:rPr>
          <w:rFonts w:ascii="Times New Roman" w:eastAsia="Times New Roman" w:hAnsi="Times New Roman" w:cs="Times New Roman"/>
          <w:spacing w:val="3"/>
        </w:rPr>
        <w:t xml:space="preserve"> </w:t>
      </w:r>
      <w:r w:rsidRPr="008B580E">
        <w:rPr>
          <w:rFonts w:ascii="Times New Roman" w:eastAsia="Times New Roman" w:hAnsi="Times New Roman" w:cs="Times New Roman"/>
        </w:rPr>
        <w:t>h</w:t>
      </w:r>
      <w:r w:rsidRPr="008B580E">
        <w:rPr>
          <w:rFonts w:ascii="Times New Roman" w:eastAsia="Times New Roman" w:hAnsi="Times New Roman" w:cs="Times New Roman"/>
          <w:spacing w:val="-2"/>
        </w:rPr>
        <w:t>a</w:t>
      </w:r>
      <w:r w:rsidRPr="008B580E">
        <w:rPr>
          <w:rFonts w:ascii="Times New Roman" w:eastAsia="Times New Roman" w:hAnsi="Times New Roman" w:cs="Times New Roman"/>
        </w:rPr>
        <w:t>r</w:t>
      </w:r>
      <w:r w:rsidRPr="008B580E">
        <w:rPr>
          <w:rFonts w:ascii="Times New Roman" w:eastAsia="Times New Roman" w:hAnsi="Times New Roman" w:cs="Times New Roman"/>
          <w:spacing w:val="-2"/>
        </w:rPr>
        <w:t>m</w:t>
      </w:r>
      <w:r w:rsidRPr="008B580E">
        <w:rPr>
          <w:rFonts w:ascii="Times New Roman" w:eastAsia="Times New Roman" w:hAnsi="Times New Roman" w:cs="Times New Roman"/>
        </w:rPr>
        <w:t>.</w:t>
      </w:r>
    </w:p>
    <w:p w14:paraId="3AE74DA2" w14:textId="77777777" w:rsidR="005B56E3" w:rsidRDefault="005B56E3" w:rsidP="001C52EB">
      <w:pPr>
        <w:spacing w:after="0"/>
        <w:rPr>
          <w:rFonts w:ascii="Times New Roman" w:hAnsi="Times New Roman" w:cs="Times New Roman"/>
          <w:sz w:val="24"/>
          <w:szCs w:val="24"/>
        </w:rPr>
      </w:pPr>
    </w:p>
    <w:p w14:paraId="70097648" w14:textId="77777777" w:rsidR="005B56E3" w:rsidRDefault="005B56E3" w:rsidP="001C52EB">
      <w:pPr>
        <w:spacing w:after="0"/>
        <w:rPr>
          <w:rFonts w:ascii="Times New Roman" w:hAnsi="Times New Roman" w:cs="Times New Roman"/>
          <w:sz w:val="24"/>
          <w:szCs w:val="24"/>
        </w:rPr>
      </w:pPr>
    </w:p>
    <w:p w14:paraId="76AE7588" w14:textId="77777777" w:rsidR="005B56E3" w:rsidRDefault="005B56E3" w:rsidP="001C52EB">
      <w:pPr>
        <w:spacing w:after="0"/>
        <w:rPr>
          <w:rFonts w:ascii="Times New Roman" w:hAnsi="Times New Roman" w:cs="Times New Roman"/>
          <w:sz w:val="24"/>
          <w:szCs w:val="24"/>
        </w:rPr>
      </w:pPr>
    </w:p>
    <w:p w14:paraId="2DB5527F" w14:textId="77777777" w:rsidR="005B56E3" w:rsidRDefault="005B56E3" w:rsidP="001C52EB">
      <w:pPr>
        <w:spacing w:after="0"/>
        <w:rPr>
          <w:rFonts w:ascii="Times New Roman" w:hAnsi="Times New Roman" w:cs="Times New Roman"/>
          <w:sz w:val="24"/>
          <w:szCs w:val="24"/>
        </w:rPr>
      </w:pPr>
    </w:p>
    <w:p w14:paraId="1E3A1CD5" w14:textId="77777777" w:rsidR="005B56E3" w:rsidRDefault="005B56E3" w:rsidP="001C52EB">
      <w:pPr>
        <w:spacing w:after="0"/>
        <w:rPr>
          <w:rFonts w:ascii="Times New Roman" w:hAnsi="Times New Roman" w:cs="Times New Roman"/>
          <w:sz w:val="24"/>
          <w:szCs w:val="24"/>
        </w:rPr>
      </w:pPr>
    </w:p>
    <w:p w14:paraId="243C3607" w14:textId="77777777" w:rsidR="005B56E3" w:rsidRDefault="005B56E3" w:rsidP="001C52EB">
      <w:pPr>
        <w:spacing w:after="0"/>
        <w:rPr>
          <w:rFonts w:ascii="Times New Roman" w:hAnsi="Times New Roman" w:cs="Times New Roman"/>
          <w:sz w:val="24"/>
          <w:szCs w:val="24"/>
        </w:rPr>
      </w:pPr>
    </w:p>
    <w:p w14:paraId="2F2BA3E3" w14:textId="77777777" w:rsidR="005B56E3" w:rsidRDefault="005B56E3" w:rsidP="001C52EB">
      <w:pPr>
        <w:spacing w:after="0"/>
        <w:rPr>
          <w:rFonts w:ascii="Times New Roman" w:hAnsi="Times New Roman" w:cs="Times New Roman"/>
          <w:sz w:val="24"/>
          <w:szCs w:val="24"/>
        </w:rPr>
      </w:pPr>
    </w:p>
    <w:p w14:paraId="0CC2F79B" w14:textId="34F17BEB" w:rsidR="001C52EB" w:rsidRDefault="001C52EB" w:rsidP="001C52EB">
      <w:pPr>
        <w:spacing w:after="0"/>
        <w:rPr>
          <w:rFonts w:ascii="Times New Roman" w:hAnsi="Times New Roman" w:cs="Times New Roman"/>
          <w:sz w:val="24"/>
          <w:szCs w:val="24"/>
        </w:rPr>
      </w:pPr>
      <w:r>
        <w:rPr>
          <w:rFonts w:ascii="Times New Roman" w:hAnsi="Times New Roman" w:cs="Times New Roman"/>
          <w:sz w:val="24"/>
          <w:szCs w:val="24"/>
        </w:rPr>
        <w:lastRenderedPageBreak/>
        <w:t>RISK FACTORS FOR CYTOMEGALOVIRUS IN HIGH RISK (D+R-) LIVER TRANSPLANT RECIPIENTS</w:t>
      </w:r>
    </w:p>
    <w:p w14:paraId="2EA1A214" w14:textId="77777777" w:rsidR="001C52EB" w:rsidRDefault="001C52EB" w:rsidP="001C52EB">
      <w:pPr>
        <w:spacing w:after="0"/>
        <w:rPr>
          <w:rFonts w:ascii="Times New Roman" w:hAnsi="Times New Roman" w:cs="Times New Roman"/>
          <w:sz w:val="24"/>
          <w:szCs w:val="24"/>
          <w:u w:val="single"/>
        </w:rPr>
      </w:pPr>
      <w:r>
        <w:rPr>
          <w:rFonts w:ascii="Times New Roman" w:hAnsi="Times New Roman" w:cs="Times New Roman"/>
          <w:sz w:val="24"/>
          <w:szCs w:val="24"/>
          <w:u w:val="single"/>
        </w:rPr>
        <w:t>Zitelli C*</w:t>
      </w:r>
      <w:r>
        <w:rPr>
          <w:rFonts w:ascii="Times New Roman" w:hAnsi="Times New Roman" w:cs="Times New Roman"/>
          <w:sz w:val="24"/>
          <w:szCs w:val="24"/>
        </w:rPr>
        <w:t xml:space="preserve">, </w:t>
      </w:r>
      <w:r>
        <w:rPr>
          <w:rFonts w:ascii="Times New Roman" w:hAnsi="Times New Roman" w:cs="Times New Roman"/>
          <w:sz w:val="24"/>
          <w:szCs w:val="24"/>
          <w:u w:val="single"/>
        </w:rPr>
        <w:t>Dang L</w:t>
      </w:r>
      <w:r>
        <w:rPr>
          <w:rFonts w:ascii="Times New Roman" w:hAnsi="Times New Roman" w:cs="Times New Roman"/>
          <w:sz w:val="24"/>
          <w:szCs w:val="24"/>
        </w:rPr>
        <w:t xml:space="preserve">, </w:t>
      </w:r>
      <w:r>
        <w:rPr>
          <w:rFonts w:ascii="Times New Roman" w:hAnsi="Times New Roman" w:cs="Times New Roman"/>
          <w:sz w:val="24"/>
          <w:szCs w:val="24"/>
          <w:u w:val="single"/>
        </w:rPr>
        <w:t>Lerner P</w:t>
      </w:r>
      <w:r>
        <w:rPr>
          <w:rFonts w:ascii="Times New Roman" w:hAnsi="Times New Roman" w:cs="Times New Roman"/>
          <w:sz w:val="24"/>
          <w:szCs w:val="24"/>
        </w:rPr>
        <w:t xml:space="preserve">, </w:t>
      </w:r>
      <w:r>
        <w:rPr>
          <w:rFonts w:ascii="Times New Roman" w:hAnsi="Times New Roman" w:cs="Times New Roman"/>
          <w:sz w:val="24"/>
          <w:szCs w:val="24"/>
          <w:u w:val="single"/>
        </w:rPr>
        <w:t>Adams-Sommer V, Caliendo G, Rana M</w:t>
      </w:r>
    </w:p>
    <w:p w14:paraId="09D3B445" w14:textId="77777777" w:rsidR="001C52EB" w:rsidRDefault="001C52EB" w:rsidP="001C52EB">
      <w:pPr>
        <w:spacing w:after="0"/>
        <w:rPr>
          <w:rFonts w:ascii="Times New Roman" w:hAnsi="Times New Roman" w:cs="Times New Roman"/>
          <w:sz w:val="24"/>
          <w:szCs w:val="24"/>
        </w:rPr>
      </w:pPr>
      <w:r>
        <w:rPr>
          <w:rFonts w:ascii="Times New Roman" w:hAnsi="Times New Roman" w:cs="Times New Roman"/>
          <w:sz w:val="24"/>
          <w:szCs w:val="24"/>
        </w:rPr>
        <w:t>The Mount Sinai Hospital, 1 Gustave L. Levy Place, New York, NY 10029</w:t>
      </w:r>
    </w:p>
    <w:p w14:paraId="19B7727B" w14:textId="77777777" w:rsidR="001C52EB" w:rsidRDefault="001C52EB" w:rsidP="001C52EB">
      <w:pPr>
        <w:spacing w:after="0"/>
        <w:rPr>
          <w:rFonts w:ascii="Times New Roman" w:hAnsi="Times New Roman" w:cs="Times New Roman"/>
          <w:sz w:val="24"/>
          <w:szCs w:val="24"/>
        </w:rPr>
      </w:pPr>
    </w:p>
    <w:p w14:paraId="2DAF8561" w14:textId="5FA960DF" w:rsidR="001C52EB" w:rsidRDefault="001C52EB" w:rsidP="001C52EB">
      <w:pPr>
        <w:spacing w:after="0"/>
        <w:rPr>
          <w:rFonts w:ascii="Times New Roman" w:hAnsi="Times New Roman" w:cs="Times New Roman"/>
          <w:sz w:val="24"/>
          <w:szCs w:val="24"/>
        </w:rPr>
      </w:pPr>
      <w:r>
        <w:rPr>
          <w:rFonts w:ascii="Times New Roman" w:hAnsi="Times New Roman" w:cs="Times New Roman"/>
          <w:b/>
          <w:sz w:val="24"/>
          <w:szCs w:val="24"/>
        </w:rPr>
        <w:t>Background</w:t>
      </w:r>
      <w:r>
        <w:rPr>
          <w:rFonts w:ascii="Times New Roman" w:hAnsi="Times New Roman" w:cs="Times New Roman"/>
          <w:sz w:val="24"/>
          <w:szCs w:val="24"/>
        </w:rPr>
        <w:t>: Cytomegalovirus (CMV) is a ubiquitous infection that infects 50-100% of people. In immunocompromised transplant recipients, CMV causes increased morbidity and mortality. Therefore, prevention of CMV disease is of great importance. The most commonly used medication for CMV prevention in liver transplant recipients is valganciclovir. Our site utilizes a universal prophylaxis approach where all recipients receive valganciclovir for 3 months with the option to extend to 6 months. In order to know if there is opportunity to improve our prevention strategy, this study aims to identify risk factors for CMV and evaluate current outcomes in the CMV high risk population.</w:t>
      </w:r>
    </w:p>
    <w:p w14:paraId="7FF6425E" w14:textId="77777777" w:rsidR="001C52EB" w:rsidRDefault="001C52EB" w:rsidP="001C52EB">
      <w:pPr>
        <w:spacing w:after="0"/>
        <w:rPr>
          <w:rFonts w:ascii="Times New Roman" w:hAnsi="Times New Roman" w:cs="Times New Roman"/>
          <w:sz w:val="24"/>
          <w:szCs w:val="24"/>
        </w:rPr>
      </w:pPr>
    </w:p>
    <w:p w14:paraId="419CAE45" w14:textId="255D1DEA" w:rsidR="001C52EB" w:rsidRDefault="001C52EB" w:rsidP="001C52EB">
      <w:pPr>
        <w:spacing w:after="0"/>
        <w:rPr>
          <w:rFonts w:ascii="Times New Roman" w:hAnsi="Times New Roman" w:cs="Times New Roman"/>
          <w:sz w:val="24"/>
          <w:szCs w:val="24"/>
        </w:rPr>
      </w:pPr>
      <w:r>
        <w:rPr>
          <w:rFonts w:ascii="Times New Roman" w:hAnsi="Times New Roman" w:cs="Times New Roman"/>
          <w:b/>
          <w:sz w:val="24"/>
          <w:szCs w:val="24"/>
        </w:rPr>
        <w:t>Objective</w:t>
      </w:r>
      <w:r>
        <w:rPr>
          <w:rFonts w:ascii="Times New Roman" w:hAnsi="Times New Roman" w:cs="Times New Roman"/>
          <w:sz w:val="24"/>
          <w:szCs w:val="24"/>
        </w:rPr>
        <w:t xml:space="preserve">: The primary objective of this study is to identify risk factors for CMV in high risk liver transplant recipients. Secondary outcomes include, biopsy proven acute rejection, 1 year patient and graft survival, incidence of tissue invasive CMV disease, viremia characteristics including time from transplant and peak PCR, duration of prophylaxis, and documented side effects of valganciclovir. </w:t>
      </w:r>
    </w:p>
    <w:p w14:paraId="005166F7" w14:textId="77777777" w:rsidR="001C52EB" w:rsidRDefault="001C52EB" w:rsidP="001C52EB">
      <w:pPr>
        <w:spacing w:after="0"/>
        <w:rPr>
          <w:rFonts w:ascii="Times New Roman" w:hAnsi="Times New Roman" w:cs="Times New Roman"/>
          <w:sz w:val="24"/>
          <w:szCs w:val="24"/>
        </w:rPr>
      </w:pPr>
    </w:p>
    <w:p w14:paraId="32D66EF6" w14:textId="4DE7B3BF" w:rsidR="001C52EB" w:rsidRDefault="001C52EB" w:rsidP="001C52EB">
      <w:pPr>
        <w:spacing w:after="0"/>
        <w:rPr>
          <w:rFonts w:ascii="Times New Roman" w:hAnsi="Times New Roman" w:cs="Times New Roman"/>
          <w:sz w:val="24"/>
          <w:szCs w:val="24"/>
        </w:rPr>
      </w:pPr>
      <w:r>
        <w:rPr>
          <w:rFonts w:ascii="Times New Roman" w:hAnsi="Times New Roman" w:cs="Times New Roman"/>
          <w:b/>
          <w:sz w:val="24"/>
          <w:szCs w:val="24"/>
        </w:rPr>
        <w:t>Methods</w:t>
      </w:r>
      <w:r>
        <w:rPr>
          <w:rFonts w:ascii="Times New Roman" w:hAnsi="Times New Roman" w:cs="Times New Roman"/>
          <w:sz w:val="24"/>
          <w:szCs w:val="24"/>
        </w:rPr>
        <w:t>: This is a single-center, retrospective chart review of adult CMV high risk liver transplant recipients who were admitted between April 2014 and December 2019. Exclusion criteria for this study includes: multivisceral transplant, index hospitalization &gt; 3 months, death within 3 months after transplant, enrollment in a clinical trial for CMV prevention, CMV viremia pre-transplant, and indeterminate donor or recipient CMV IgG status.</w:t>
      </w:r>
    </w:p>
    <w:p w14:paraId="4CE7920F" w14:textId="77777777" w:rsidR="001C52EB" w:rsidRDefault="001C52EB" w:rsidP="001C52EB">
      <w:pPr>
        <w:spacing w:after="0"/>
        <w:rPr>
          <w:rFonts w:ascii="Times New Roman" w:hAnsi="Times New Roman" w:cs="Times New Roman"/>
          <w:sz w:val="24"/>
          <w:szCs w:val="24"/>
        </w:rPr>
      </w:pPr>
    </w:p>
    <w:p w14:paraId="676BA616" w14:textId="6ADB3259" w:rsidR="001C52EB" w:rsidRDefault="001C52EB" w:rsidP="001C52EB">
      <w:pPr>
        <w:spacing w:after="0"/>
        <w:rPr>
          <w:rFonts w:ascii="Times New Roman" w:hAnsi="Times New Roman" w:cs="Times New Roman"/>
          <w:sz w:val="24"/>
          <w:szCs w:val="24"/>
        </w:rPr>
      </w:pPr>
      <w:r>
        <w:rPr>
          <w:rFonts w:ascii="Times New Roman" w:hAnsi="Times New Roman" w:cs="Times New Roman"/>
          <w:b/>
          <w:sz w:val="24"/>
          <w:szCs w:val="24"/>
        </w:rPr>
        <w:t>Results</w:t>
      </w:r>
      <w:r>
        <w:rPr>
          <w:rFonts w:ascii="Times New Roman" w:hAnsi="Times New Roman" w:cs="Times New Roman"/>
          <w:sz w:val="24"/>
          <w:szCs w:val="24"/>
        </w:rPr>
        <w:t>: In progress, pending Institutional Review Board approval</w:t>
      </w:r>
    </w:p>
    <w:p w14:paraId="7627658F" w14:textId="77777777" w:rsidR="001C52EB" w:rsidRDefault="001C52EB" w:rsidP="001C52EB">
      <w:pPr>
        <w:spacing w:after="0"/>
        <w:rPr>
          <w:rFonts w:ascii="Times New Roman" w:hAnsi="Times New Roman" w:cs="Times New Roman"/>
          <w:sz w:val="24"/>
          <w:szCs w:val="24"/>
        </w:rPr>
      </w:pPr>
    </w:p>
    <w:p w14:paraId="27CF8837" w14:textId="77777777" w:rsidR="001C52EB" w:rsidRDefault="001C52EB" w:rsidP="001C52EB">
      <w:pPr>
        <w:spacing w:after="0"/>
        <w:rPr>
          <w:rFonts w:ascii="Times New Roman" w:hAnsi="Times New Roman" w:cs="Times New Roman"/>
          <w:sz w:val="24"/>
          <w:szCs w:val="24"/>
        </w:rPr>
      </w:pPr>
      <w:r>
        <w:rPr>
          <w:rFonts w:ascii="Times New Roman" w:hAnsi="Times New Roman" w:cs="Times New Roman"/>
          <w:b/>
          <w:sz w:val="24"/>
          <w:szCs w:val="24"/>
        </w:rPr>
        <w:t>Conclusion</w:t>
      </w:r>
      <w:r>
        <w:rPr>
          <w:rFonts w:ascii="Times New Roman" w:hAnsi="Times New Roman" w:cs="Times New Roman"/>
          <w:sz w:val="24"/>
          <w:szCs w:val="24"/>
        </w:rPr>
        <w:t>: In progress</w:t>
      </w:r>
    </w:p>
    <w:p w14:paraId="54DA8ED1" w14:textId="77777777" w:rsidR="001C52EB" w:rsidRPr="003D584E" w:rsidRDefault="001C52EB" w:rsidP="003D584E">
      <w:pPr>
        <w:rPr>
          <w:rFonts w:ascii="Times New Roman" w:hAnsi="Times New Roman" w:cs="Times New Roman"/>
          <w:sz w:val="24"/>
          <w:szCs w:val="24"/>
        </w:rPr>
      </w:pPr>
    </w:p>
    <w:sectPr w:rsidR="001C52EB" w:rsidRPr="003D5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D38A3"/>
    <w:multiLevelType w:val="hybridMultilevel"/>
    <w:tmpl w:val="34749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7F"/>
    <w:rsid w:val="00066D0C"/>
    <w:rsid w:val="0007657F"/>
    <w:rsid w:val="00077E56"/>
    <w:rsid w:val="001C52EB"/>
    <w:rsid w:val="002B0B4C"/>
    <w:rsid w:val="003D584E"/>
    <w:rsid w:val="004A33D4"/>
    <w:rsid w:val="005B56E3"/>
    <w:rsid w:val="008E7FCD"/>
    <w:rsid w:val="00BD0302"/>
    <w:rsid w:val="00CD4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192D1"/>
  <w15:chartTrackingRefBased/>
  <w15:docId w15:val="{6913ACF4-683B-451C-A427-A9214A77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7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semiHidden/>
    <w:unhideWhenUsed/>
    <w:rsid w:val="0007657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7657F"/>
    <w:pPr>
      <w:spacing w:after="0" w:line="240" w:lineRule="auto"/>
    </w:pPr>
  </w:style>
  <w:style w:type="paragraph" w:styleId="ListParagraph">
    <w:name w:val="List Paragraph"/>
    <w:basedOn w:val="Normal"/>
    <w:uiPriority w:val="34"/>
    <w:qFormat/>
    <w:rsid w:val="0007657F"/>
    <w:pPr>
      <w:spacing w:after="200" w:line="276" w:lineRule="auto"/>
      <w:ind w:left="720"/>
      <w:contextualSpacing/>
    </w:pPr>
  </w:style>
  <w:style w:type="paragraph" w:customStyle="1" w:styleId="paragraph">
    <w:name w:val="paragraph"/>
    <w:basedOn w:val="Normal"/>
    <w:rsid w:val="000765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657F"/>
  </w:style>
  <w:style w:type="character" w:customStyle="1" w:styleId="eop">
    <w:name w:val="eop"/>
    <w:basedOn w:val="DefaultParagraphFont"/>
    <w:rsid w:val="0007657F"/>
  </w:style>
  <w:style w:type="paragraph" w:customStyle="1" w:styleId="Default">
    <w:name w:val="Default"/>
    <w:rsid w:val="008E7FC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BD0302"/>
    <w:pPr>
      <w:snapToGrid w:val="0"/>
      <w:spacing w:after="0" w:line="240" w:lineRule="auto"/>
      <w:jc w:val="both"/>
    </w:pPr>
    <w:rPr>
      <w:rFonts w:ascii="Arial" w:hAnsi="Arial" w:cs="Arial"/>
      <w:b/>
      <w:bCs/>
      <w:sz w:val="20"/>
      <w:szCs w:val="20"/>
    </w:rPr>
  </w:style>
  <w:style w:type="character" w:customStyle="1" w:styleId="BodyText2Char">
    <w:name w:val="Body Text 2 Char"/>
    <w:basedOn w:val="DefaultParagraphFont"/>
    <w:link w:val="BodyText2"/>
    <w:uiPriority w:val="99"/>
    <w:semiHidden/>
    <w:rsid w:val="00BD0302"/>
    <w:rPr>
      <w:rFonts w:ascii="Arial" w:hAnsi="Arial" w:cs="Arial"/>
      <w:b/>
      <w:bCs/>
      <w:sz w:val="20"/>
      <w:szCs w:val="20"/>
    </w:rPr>
  </w:style>
  <w:style w:type="paragraph" w:styleId="CommentText">
    <w:name w:val="annotation text"/>
    <w:basedOn w:val="Normal"/>
    <w:link w:val="CommentTextChar"/>
    <w:uiPriority w:val="99"/>
    <w:semiHidden/>
    <w:unhideWhenUsed/>
    <w:rsid w:val="00077E56"/>
    <w:pPr>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077E56"/>
    <w:rPr>
      <w:rFonts w:eastAsiaTheme="minorEastAsia"/>
      <w:sz w:val="20"/>
      <w:szCs w:val="20"/>
      <w:lang w:eastAsia="zh-CN"/>
    </w:rPr>
  </w:style>
  <w:style w:type="paragraph" w:customStyle="1" w:styleId="TitleBUCUpper">
    <w:name w:val="Title BUC Upper"/>
    <w:basedOn w:val="Normal"/>
    <w:rsid w:val="00077E56"/>
    <w:pPr>
      <w:spacing w:after="240" w:line="240" w:lineRule="auto"/>
    </w:pPr>
    <w:rPr>
      <w:rFonts w:ascii="Times New Roman" w:eastAsia="Times New Roman" w:hAnsi="Times New Roman" w:cs="Times New Roman"/>
      <w:b/>
      <w:caps/>
      <w:sz w:val="24"/>
      <w:szCs w:val="24"/>
      <w:u w:val="single"/>
    </w:rPr>
  </w:style>
  <w:style w:type="character" w:styleId="Strong">
    <w:name w:val="Strong"/>
    <w:basedOn w:val="DefaultParagraphFont"/>
    <w:uiPriority w:val="22"/>
    <w:qFormat/>
    <w:rsid w:val="003D584E"/>
    <w:rPr>
      <w:b/>
      <w:bCs/>
    </w:rPr>
  </w:style>
  <w:style w:type="character" w:styleId="Emphasis">
    <w:name w:val="Emphasis"/>
    <w:basedOn w:val="DefaultParagraphFont"/>
    <w:uiPriority w:val="20"/>
    <w:qFormat/>
    <w:rsid w:val="003D584E"/>
    <w:rPr>
      <w:i/>
      <w:iCs/>
    </w:rPr>
  </w:style>
  <w:style w:type="character" w:customStyle="1" w:styleId="NormalWebChar">
    <w:name w:val="Normal (Web) Char"/>
    <w:basedOn w:val="DefaultParagraphFont"/>
    <w:link w:val="NormalWeb"/>
    <w:uiPriority w:val="99"/>
    <w:semiHidden/>
    <w:locked/>
    <w:rsid w:val="003D58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856">
      <w:bodyDiv w:val="1"/>
      <w:marLeft w:val="0"/>
      <w:marRight w:val="0"/>
      <w:marTop w:val="0"/>
      <w:marBottom w:val="0"/>
      <w:divBdr>
        <w:top w:val="none" w:sz="0" w:space="0" w:color="auto"/>
        <w:left w:val="none" w:sz="0" w:space="0" w:color="auto"/>
        <w:bottom w:val="none" w:sz="0" w:space="0" w:color="auto"/>
        <w:right w:val="none" w:sz="0" w:space="0" w:color="auto"/>
      </w:divBdr>
    </w:div>
    <w:div w:id="39869259">
      <w:bodyDiv w:val="1"/>
      <w:marLeft w:val="0"/>
      <w:marRight w:val="0"/>
      <w:marTop w:val="0"/>
      <w:marBottom w:val="0"/>
      <w:divBdr>
        <w:top w:val="none" w:sz="0" w:space="0" w:color="auto"/>
        <w:left w:val="none" w:sz="0" w:space="0" w:color="auto"/>
        <w:bottom w:val="none" w:sz="0" w:space="0" w:color="auto"/>
        <w:right w:val="none" w:sz="0" w:space="0" w:color="auto"/>
      </w:divBdr>
    </w:div>
    <w:div w:id="40329386">
      <w:bodyDiv w:val="1"/>
      <w:marLeft w:val="0"/>
      <w:marRight w:val="0"/>
      <w:marTop w:val="0"/>
      <w:marBottom w:val="0"/>
      <w:divBdr>
        <w:top w:val="none" w:sz="0" w:space="0" w:color="auto"/>
        <w:left w:val="none" w:sz="0" w:space="0" w:color="auto"/>
        <w:bottom w:val="none" w:sz="0" w:space="0" w:color="auto"/>
        <w:right w:val="none" w:sz="0" w:space="0" w:color="auto"/>
      </w:divBdr>
    </w:div>
    <w:div w:id="56100779">
      <w:bodyDiv w:val="1"/>
      <w:marLeft w:val="0"/>
      <w:marRight w:val="0"/>
      <w:marTop w:val="0"/>
      <w:marBottom w:val="0"/>
      <w:divBdr>
        <w:top w:val="none" w:sz="0" w:space="0" w:color="auto"/>
        <w:left w:val="none" w:sz="0" w:space="0" w:color="auto"/>
        <w:bottom w:val="none" w:sz="0" w:space="0" w:color="auto"/>
        <w:right w:val="none" w:sz="0" w:space="0" w:color="auto"/>
      </w:divBdr>
    </w:div>
    <w:div w:id="69743794">
      <w:bodyDiv w:val="1"/>
      <w:marLeft w:val="0"/>
      <w:marRight w:val="0"/>
      <w:marTop w:val="0"/>
      <w:marBottom w:val="0"/>
      <w:divBdr>
        <w:top w:val="none" w:sz="0" w:space="0" w:color="auto"/>
        <w:left w:val="none" w:sz="0" w:space="0" w:color="auto"/>
        <w:bottom w:val="none" w:sz="0" w:space="0" w:color="auto"/>
        <w:right w:val="none" w:sz="0" w:space="0" w:color="auto"/>
      </w:divBdr>
    </w:div>
    <w:div w:id="70276318">
      <w:bodyDiv w:val="1"/>
      <w:marLeft w:val="0"/>
      <w:marRight w:val="0"/>
      <w:marTop w:val="0"/>
      <w:marBottom w:val="0"/>
      <w:divBdr>
        <w:top w:val="none" w:sz="0" w:space="0" w:color="auto"/>
        <w:left w:val="none" w:sz="0" w:space="0" w:color="auto"/>
        <w:bottom w:val="none" w:sz="0" w:space="0" w:color="auto"/>
        <w:right w:val="none" w:sz="0" w:space="0" w:color="auto"/>
      </w:divBdr>
    </w:div>
    <w:div w:id="74668279">
      <w:bodyDiv w:val="1"/>
      <w:marLeft w:val="0"/>
      <w:marRight w:val="0"/>
      <w:marTop w:val="0"/>
      <w:marBottom w:val="0"/>
      <w:divBdr>
        <w:top w:val="none" w:sz="0" w:space="0" w:color="auto"/>
        <w:left w:val="none" w:sz="0" w:space="0" w:color="auto"/>
        <w:bottom w:val="none" w:sz="0" w:space="0" w:color="auto"/>
        <w:right w:val="none" w:sz="0" w:space="0" w:color="auto"/>
      </w:divBdr>
    </w:div>
    <w:div w:id="119963045">
      <w:bodyDiv w:val="1"/>
      <w:marLeft w:val="0"/>
      <w:marRight w:val="0"/>
      <w:marTop w:val="0"/>
      <w:marBottom w:val="0"/>
      <w:divBdr>
        <w:top w:val="none" w:sz="0" w:space="0" w:color="auto"/>
        <w:left w:val="none" w:sz="0" w:space="0" w:color="auto"/>
        <w:bottom w:val="none" w:sz="0" w:space="0" w:color="auto"/>
        <w:right w:val="none" w:sz="0" w:space="0" w:color="auto"/>
      </w:divBdr>
    </w:div>
    <w:div w:id="128859237">
      <w:bodyDiv w:val="1"/>
      <w:marLeft w:val="0"/>
      <w:marRight w:val="0"/>
      <w:marTop w:val="0"/>
      <w:marBottom w:val="0"/>
      <w:divBdr>
        <w:top w:val="none" w:sz="0" w:space="0" w:color="auto"/>
        <w:left w:val="none" w:sz="0" w:space="0" w:color="auto"/>
        <w:bottom w:val="none" w:sz="0" w:space="0" w:color="auto"/>
        <w:right w:val="none" w:sz="0" w:space="0" w:color="auto"/>
      </w:divBdr>
    </w:div>
    <w:div w:id="210919174">
      <w:bodyDiv w:val="1"/>
      <w:marLeft w:val="0"/>
      <w:marRight w:val="0"/>
      <w:marTop w:val="0"/>
      <w:marBottom w:val="0"/>
      <w:divBdr>
        <w:top w:val="none" w:sz="0" w:space="0" w:color="auto"/>
        <w:left w:val="none" w:sz="0" w:space="0" w:color="auto"/>
        <w:bottom w:val="none" w:sz="0" w:space="0" w:color="auto"/>
        <w:right w:val="none" w:sz="0" w:space="0" w:color="auto"/>
      </w:divBdr>
    </w:div>
    <w:div w:id="216863966">
      <w:bodyDiv w:val="1"/>
      <w:marLeft w:val="0"/>
      <w:marRight w:val="0"/>
      <w:marTop w:val="0"/>
      <w:marBottom w:val="0"/>
      <w:divBdr>
        <w:top w:val="none" w:sz="0" w:space="0" w:color="auto"/>
        <w:left w:val="none" w:sz="0" w:space="0" w:color="auto"/>
        <w:bottom w:val="none" w:sz="0" w:space="0" w:color="auto"/>
        <w:right w:val="none" w:sz="0" w:space="0" w:color="auto"/>
      </w:divBdr>
    </w:div>
    <w:div w:id="240214869">
      <w:bodyDiv w:val="1"/>
      <w:marLeft w:val="0"/>
      <w:marRight w:val="0"/>
      <w:marTop w:val="0"/>
      <w:marBottom w:val="0"/>
      <w:divBdr>
        <w:top w:val="none" w:sz="0" w:space="0" w:color="auto"/>
        <w:left w:val="none" w:sz="0" w:space="0" w:color="auto"/>
        <w:bottom w:val="none" w:sz="0" w:space="0" w:color="auto"/>
        <w:right w:val="none" w:sz="0" w:space="0" w:color="auto"/>
      </w:divBdr>
    </w:div>
    <w:div w:id="281811768">
      <w:bodyDiv w:val="1"/>
      <w:marLeft w:val="0"/>
      <w:marRight w:val="0"/>
      <w:marTop w:val="0"/>
      <w:marBottom w:val="0"/>
      <w:divBdr>
        <w:top w:val="none" w:sz="0" w:space="0" w:color="auto"/>
        <w:left w:val="none" w:sz="0" w:space="0" w:color="auto"/>
        <w:bottom w:val="none" w:sz="0" w:space="0" w:color="auto"/>
        <w:right w:val="none" w:sz="0" w:space="0" w:color="auto"/>
      </w:divBdr>
    </w:div>
    <w:div w:id="292947822">
      <w:bodyDiv w:val="1"/>
      <w:marLeft w:val="0"/>
      <w:marRight w:val="0"/>
      <w:marTop w:val="0"/>
      <w:marBottom w:val="0"/>
      <w:divBdr>
        <w:top w:val="none" w:sz="0" w:space="0" w:color="auto"/>
        <w:left w:val="none" w:sz="0" w:space="0" w:color="auto"/>
        <w:bottom w:val="none" w:sz="0" w:space="0" w:color="auto"/>
        <w:right w:val="none" w:sz="0" w:space="0" w:color="auto"/>
      </w:divBdr>
    </w:div>
    <w:div w:id="297804974">
      <w:bodyDiv w:val="1"/>
      <w:marLeft w:val="0"/>
      <w:marRight w:val="0"/>
      <w:marTop w:val="0"/>
      <w:marBottom w:val="0"/>
      <w:divBdr>
        <w:top w:val="none" w:sz="0" w:space="0" w:color="auto"/>
        <w:left w:val="none" w:sz="0" w:space="0" w:color="auto"/>
        <w:bottom w:val="none" w:sz="0" w:space="0" w:color="auto"/>
        <w:right w:val="none" w:sz="0" w:space="0" w:color="auto"/>
      </w:divBdr>
    </w:div>
    <w:div w:id="299649318">
      <w:bodyDiv w:val="1"/>
      <w:marLeft w:val="0"/>
      <w:marRight w:val="0"/>
      <w:marTop w:val="0"/>
      <w:marBottom w:val="0"/>
      <w:divBdr>
        <w:top w:val="none" w:sz="0" w:space="0" w:color="auto"/>
        <w:left w:val="none" w:sz="0" w:space="0" w:color="auto"/>
        <w:bottom w:val="none" w:sz="0" w:space="0" w:color="auto"/>
        <w:right w:val="none" w:sz="0" w:space="0" w:color="auto"/>
      </w:divBdr>
    </w:div>
    <w:div w:id="312417149">
      <w:bodyDiv w:val="1"/>
      <w:marLeft w:val="0"/>
      <w:marRight w:val="0"/>
      <w:marTop w:val="0"/>
      <w:marBottom w:val="0"/>
      <w:divBdr>
        <w:top w:val="none" w:sz="0" w:space="0" w:color="auto"/>
        <w:left w:val="none" w:sz="0" w:space="0" w:color="auto"/>
        <w:bottom w:val="none" w:sz="0" w:space="0" w:color="auto"/>
        <w:right w:val="none" w:sz="0" w:space="0" w:color="auto"/>
      </w:divBdr>
    </w:div>
    <w:div w:id="336886900">
      <w:bodyDiv w:val="1"/>
      <w:marLeft w:val="0"/>
      <w:marRight w:val="0"/>
      <w:marTop w:val="0"/>
      <w:marBottom w:val="0"/>
      <w:divBdr>
        <w:top w:val="none" w:sz="0" w:space="0" w:color="auto"/>
        <w:left w:val="none" w:sz="0" w:space="0" w:color="auto"/>
        <w:bottom w:val="none" w:sz="0" w:space="0" w:color="auto"/>
        <w:right w:val="none" w:sz="0" w:space="0" w:color="auto"/>
      </w:divBdr>
    </w:div>
    <w:div w:id="342169434">
      <w:bodyDiv w:val="1"/>
      <w:marLeft w:val="0"/>
      <w:marRight w:val="0"/>
      <w:marTop w:val="0"/>
      <w:marBottom w:val="0"/>
      <w:divBdr>
        <w:top w:val="none" w:sz="0" w:space="0" w:color="auto"/>
        <w:left w:val="none" w:sz="0" w:space="0" w:color="auto"/>
        <w:bottom w:val="none" w:sz="0" w:space="0" w:color="auto"/>
        <w:right w:val="none" w:sz="0" w:space="0" w:color="auto"/>
      </w:divBdr>
    </w:div>
    <w:div w:id="343283258">
      <w:bodyDiv w:val="1"/>
      <w:marLeft w:val="0"/>
      <w:marRight w:val="0"/>
      <w:marTop w:val="0"/>
      <w:marBottom w:val="0"/>
      <w:divBdr>
        <w:top w:val="none" w:sz="0" w:space="0" w:color="auto"/>
        <w:left w:val="none" w:sz="0" w:space="0" w:color="auto"/>
        <w:bottom w:val="none" w:sz="0" w:space="0" w:color="auto"/>
        <w:right w:val="none" w:sz="0" w:space="0" w:color="auto"/>
      </w:divBdr>
    </w:div>
    <w:div w:id="354037522">
      <w:bodyDiv w:val="1"/>
      <w:marLeft w:val="0"/>
      <w:marRight w:val="0"/>
      <w:marTop w:val="0"/>
      <w:marBottom w:val="0"/>
      <w:divBdr>
        <w:top w:val="none" w:sz="0" w:space="0" w:color="auto"/>
        <w:left w:val="none" w:sz="0" w:space="0" w:color="auto"/>
        <w:bottom w:val="none" w:sz="0" w:space="0" w:color="auto"/>
        <w:right w:val="none" w:sz="0" w:space="0" w:color="auto"/>
      </w:divBdr>
    </w:div>
    <w:div w:id="431320623">
      <w:bodyDiv w:val="1"/>
      <w:marLeft w:val="0"/>
      <w:marRight w:val="0"/>
      <w:marTop w:val="0"/>
      <w:marBottom w:val="0"/>
      <w:divBdr>
        <w:top w:val="none" w:sz="0" w:space="0" w:color="auto"/>
        <w:left w:val="none" w:sz="0" w:space="0" w:color="auto"/>
        <w:bottom w:val="none" w:sz="0" w:space="0" w:color="auto"/>
        <w:right w:val="none" w:sz="0" w:space="0" w:color="auto"/>
      </w:divBdr>
    </w:div>
    <w:div w:id="431358585">
      <w:bodyDiv w:val="1"/>
      <w:marLeft w:val="0"/>
      <w:marRight w:val="0"/>
      <w:marTop w:val="0"/>
      <w:marBottom w:val="0"/>
      <w:divBdr>
        <w:top w:val="none" w:sz="0" w:space="0" w:color="auto"/>
        <w:left w:val="none" w:sz="0" w:space="0" w:color="auto"/>
        <w:bottom w:val="none" w:sz="0" w:space="0" w:color="auto"/>
        <w:right w:val="none" w:sz="0" w:space="0" w:color="auto"/>
      </w:divBdr>
    </w:div>
    <w:div w:id="448090989">
      <w:bodyDiv w:val="1"/>
      <w:marLeft w:val="0"/>
      <w:marRight w:val="0"/>
      <w:marTop w:val="0"/>
      <w:marBottom w:val="0"/>
      <w:divBdr>
        <w:top w:val="none" w:sz="0" w:space="0" w:color="auto"/>
        <w:left w:val="none" w:sz="0" w:space="0" w:color="auto"/>
        <w:bottom w:val="none" w:sz="0" w:space="0" w:color="auto"/>
        <w:right w:val="none" w:sz="0" w:space="0" w:color="auto"/>
      </w:divBdr>
    </w:div>
    <w:div w:id="473372995">
      <w:bodyDiv w:val="1"/>
      <w:marLeft w:val="0"/>
      <w:marRight w:val="0"/>
      <w:marTop w:val="0"/>
      <w:marBottom w:val="0"/>
      <w:divBdr>
        <w:top w:val="none" w:sz="0" w:space="0" w:color="auto"/>
        <w:left w:val="none" w:sz="0" w:space="0" w:color="auto"/>
        <w:bottom w:val="none" w:sz="0" w:space="0" w:color="auto"/>
        <w:right w:val="none" w:sz="0" w:space="0" w:color="auto"/>
      </w:divBdr>
    </w:div>
    <w:div w:id="506135900">
      <w:bodyDiv w:val="1"/>
      <w:marLeft w:val="0"/>
      <w:marRight w:val="0"/>
      <w:marTop w:val="0"/>
      <w:marBottom w:val="0"/>
      <w:divBdr>
        <w:top w:val="none" w:sz="0" w:space="0" w:color="auto"/>
        <w:left w:val="none" w:sz="0" w:space="0" w:color="auto"/>
        <w:bottom w:val="none" w:sz="0" w:space="0" w:color="auto"/>
        <w:right w:val="none" w:sz="0" w:space="0" w:color="auto"/>
      </w:divBdr>
    </w:div>
    <w:div w:id="597173918">
      <w:bodyDiv w:val="1"/>
      <w:marLeft w:val="0"/>
      <w:marRight w:val="0"/>
      <w:marTop w:val="0"/>
      <w:marBottom w:val="0"/>
      <w:divBdr>
        <w:top w:val="none" w:sz="0" w:space="0" w:color="auto"/>
        <w:left w:val="none" w:sz="0" w:space="0" w:color="auto"/>
        <w:bottom w:val="none" w:sz="0" w:space="0" w:color="auto"/>
        <w:right w:val="none" w:sz="0" w:space="0" w:color="auto"/>
      </w:divBdr>
    </w:div>
    <w:div w:id="601958778">
      <w:bodyDiv w:val="1"/>
      <w:marLeft w:val="0"/>
      <w:marRight w:val="0"/>
      <w:marTop w:val="0"/>
      <w:marBottom w:val="0"/>
      <w:divBdr>
        <w:top w:val="none" w:sz="0" w:space="0" w:color="auto"/>
        <w:left w:val="none" w:sz="0" w:space="0" w:color="auto"/>
        <w:bottom w:val="none" w:sz="0" w:space="0" w:color="auto"/>
        <w:right w:val="none" w:sz="0" w:space="0" w:color="auto"/>
      </w:divBdr>
    </w:div>
    <w:div w:id="610746624">
      <w:bodyDiv w:val="1"/>
      <w:marLeft w:val="0"/>
      <w:marRight w:val="0"/>
      <w:marTop w:val="0"/>
      <w:marBottom w:val="0"/>
      <w:divBdr>
        <w:top w:val="none" w:sz="0" w:space="0" w:color="auto"/>
        <w:left w:val="none" w:sz="0" w:space="0" w:color="auto"/>
        <w:bottom w:val="none" w:sz="0" w:space="0" w:color="auto"/>
        <w:right w:val="none" w:sz="0" w:space="0" w:color="auto"/>
      </w:divBdr>
    </w:div>
    <w:div w:id="636910874">
      <w:bodyDiv w:val="1"/>
      <w:marLeft w:val="0"/>
      <w:marRight w:val="0"/>
      <w:marTop w:val="0"/>
      <w:marBottom w:val="0"/>
      <w:divBdr>
        <w:top w:val="none" w:sz="0" w:space="0" w:color="auto"/>
        <w:left w:val="none" w:sz="0" w:space="0" w:color="auto"/>
        <w:bottom w:val="none" w:sz="0" w:space="0" w:color="auto"/>
        <w:right w:val="none" w:sz="0" w:space="0" w:color="auto"/>
      </w:divBdr>
    </w:div>
    <w:div w:id="653989958">
      <w:bodyDiv w:val="1"/>
      <w:marLeft w:val="0"/>
      <w:marRight w:val="0"/>
      <w:marTop w:val="0"/>
      <w:marBottom w:val="0"/>
      <w:divBdr>
        <w:top w:val="none" w:sz="0" w:space="0" w:color="auto"/>
        <w:left w:val="none" w:sz="0" w:space="0" w:color="auto"/>
        <w:bottom w:val="none" w:sz="0" w:space="0" w:color="auto"/>
        <w:right w:val="none" w:sz="0" w:space="0" w:color="auto"/>
      </w:divBdr>
    </w:div>
    <w:div w:id="697506829">
      <w:bodyDiv w:val="1"/>
      <w:marLeft w:val="0"/>
      <w:marRight w:val="0"/>
      <w:marTop w:val="0"/>
      <w:marBottom w:val="0"/>
      <w:divBdr>
        <w:top w:val="none" w:sz="0" w:space="0" w:color="auto"/>
        <w:left w:val="none" w:sz="0" w:space="0" w:color="auto"/>
        <w:bottom w:val="none" w:sz="0" w:space="0" w:color="auto"/>
        <w:right w:val="none" w:sz="0" w:space="0" w:color="auto"/>
      </w:divBdr>
    </w:div>
    <w:div w:id="728386416">
      <w:bodyDiv w:val="1"/>
      <w:marLeft w:val="0"/>
      <w:marRight w:val="0"/>
      <w:marTop w:val="0"/>
      <w:marBottom w:val="0"/>
      <w:divBdr>
        <w:top w:val="none" w:sz="0" w:space="0" w:color="auto"/>
        <w:left w:val="none" w:sz="0" w:space="0" w:color="auto"/>
        <w:bottom w:val="none" w:sz="0" w:space="0" w:color="auto"/>
        <w:right w:val="none" w:sz="0" w:space="0" w:color="auto"/>
      </w:divBdr>
    </w:div>
    <w:div w:id="743724653">
      <w:bodyDiv w:val="1"/>
      <w:marLeft w:val="0"/>
      <w:marRight w:val="0"/>
      <w:marTop w:val="0"/>
      <w:marBottom w:val="0"/>
      <w:divBdr>
        <w:top w:val="none" w:sz="0" w:space="0" w:color="auto"/>
        <w:left w:val="none" w:sz="0" w:space="0" w:color="auto"/>
        <w:bottom w:val="none" w:sz="0" w:space="0" w:color="auto"/>
        <w:right w:val="none" w:sz="0" w:space="0" w:color="auto"/>
      </w:divBdr>
    </w:div>
    <w:div w:id="812675911">
      <w:bodyDiv w:val="1"/>
      <w:marLeft w:val="0"/>
      <w:marRight w:val="0"/>
      <w:marTop w:val="0"/>
      <w:marBottom w:val="0"/>
      <w:divBdr>
        <w:top w:val="none" w:sz="0" w:space="0" w:color="auto"/>
        <w:left w:val="none" w:sz="0" w:space="0" w:color="auto"/>
        <w:bottom w:val="none" w:sz="0" w:space="0" w:color="auto"/>
        <w:right w:val="none" w:sz="0" w:space="0" w:color="auto"/>
      </w:divBdr>
    </w:div>
    <w:div w:id="814681995">
      <w:bodyDiv w:val="1"/>
      <w:marLeft w:val="0"/>
      <w:marRight w:val="0"/>
      <w:marTop w:val="0"/>
      <w:marBottom w:val="0"/>
      <w:divBdr>
        <w:top w:val="none" w:sz="0" w:space="0" w:color="auto"/>
        <w:left w:val="none" w:sz="0" w:space="0" w:color="auto"/>
        <w:bottom w:val="none" w:sz="0" w:space="0" w:color="auto"/>
        <w:right w:val="none" w:sz="0" w:space="0" w:color="auto"/>
      </w:divBdr>
    </w:div>
    <w:div w:id="839924597">
      <w:bodyDiv w:val="1"/>
      <w:marLeft w:val="0"/>
      <w:marRight w:val="0"/>
      <w:marTop w:val="0"/>
      <w:marBottom w:val="0"/>
      <w:divBdr>
        <w:top w:val="none" w:sz="0" w:space="0" w:color="auto"/>
        <w:left w:val="none" w:sz="0" w:space="0" w:color="auto"/>
        <w:bottom w:val="none" w:sz="0" w:space="0" w:color="auto"/>
        <w:right w:val="none" w:sz="0" w:space="0" w:color="auto"/>
      </w:divBdr>
    </w:div>
    <w:div w:id="931662025">
      <w:bodyDiv w:val="1"/>
      <w:marLeft w:val="0"/>
      <w:marRight w:val="0"/>
      <w:marTop w:val="0"/>
      <w:marBottom w:val="0"/>
      <w:divBdr>
        <w:top w:val="none" w:sz="0" w:space="0" w:color="auto"/>
        <w:left w:val="none" w:sz="0" w:space="0" w:color="auto"/>
        <w:bottom w:val="none" w:sz="0" w:space="0" w:color="auto"/>
        <w:right w:val="none" w:sz="0" w:space="0" w:color="auto"/>
      </w:divBdr>
    </w:div>
    <w:div w:id="946811273">
      <w:bodyDiv w:val="1"/>
      <w:marLeft w:val="0"/>
      <w:marRight w:val="0"/>
      <w:marTop w:val="0"/>
      <w:marBottom w:val="0"/>
      <w:divBdr>
        <w:top w:val="none" w:sz="0" w:space="0" w:color="auto"/>
        <w:left w:val="none" w:sz="0" w:space="0" w:color="auto"/>
        <w:bottom w:val="none" w:sz="0" w:space="0" w:color="auto"/>
        <w:right w:val="none" w:sz="0" w:space="0" w:color="auto"/>
      </w:divBdr>
    </w:div>
    <w:div w:id="985858731">
      <w:bodyDiv w:val="1"/>
      <w:marLeft w:val="0"/>
      <w:marRight w:val="0"/>
      <w:marTop w:val="0"/>
      <w:marBottom w:val="0"/>
      <w:divBdr>
        <w:top w:val="none" w:sz="0" w:space="0" w:color="auto"/>
        <w:left w:val="none" w:sz="0" w:space="0" w:color="auto"/>
        <w:bottom w:val="none" w:sz="0" w:space="0" w:color="auto"/>
        <w:right w:val="none" w:sz="0" w:space="0" w:color="auto"/>
      </w:divBdr>
    </w:div>
    <w:div w:id="1032918923">
      <w:bodyDiv w:val="1"/>
      <w:marLeft w:val="0"/>
      <w:marRight w:val="0"/>
      <w:marTop w:val="0"/>
      <w:marBottom w:val="0"/>
      <w:divBdr>
        <w:top w:val="none" w:sz="0" w:space="0" w:color="auto"/>
        <w:left w:val="none" w:sz="0" w:space="0" w:color="auto"/>
        <w:bottom w:val="none" w:sz="0" w:space="0" w:color="auto"/>
        <w:right w:val="none" w:sz="0" w:space="0" w:color="auto"/>
      </w:divBdr>
    </w:div>
    <w:div w:id="1075710108">
      <w:bodyDiv w:val="1"/>
      <w:marLeft w:val="0"/>
      <w:marRight w:val="0"/>
      <w:marTop w:val="0"/>
      <w:marBottom w:val="0"/>
      <w:divBdr>
        <w:top w:val="none" w:sz="0" w:space="0" w:color="auto"/>
        <w:left w:val="none" w:sz="0" w:space="0" w:color="auto"/>
        <w:bottom w:val="none" w:sz="0" w:space="0" w:color="auto"/>
        <w:right w:val="none" w:sz="0" w:space="0" w:color="auto"/>
      </w:divBdr>
    </w:div>
    <w:div w:id="1094982528">
      <w:bodyDiv w:val="1"/>
      <w:marLeft w:val="0"/>
      <w:marRight w:val="0"/>
      <w:marTop w:val="0"/>
      <w:marBottom w:val="0"/>
      <w:divBdr>
        <w:top w:val="none" w:sz="0" w:space="0" w:color="auto"/>
        <w:left w:val="none" w:sz="0" w:space="0" w:color="auto"/>
        <w:bottom w:val="none" w:sz="0" w:space="0" w:color="auto"/>
        <w:right w:val="none" w:sz="0" w:space="0" w:color="auto"/>
      </w:divBdr>
    </w:div>
    <w:div w:id="1104958740">
      <w:bodyDiv w:val="1"/>
      <w:marLeft w:val="0"/>
      <w:marRight w:val="0"/>
      <w:marTop w:val="0"/>
      <w:marBottom w:val="0"/>
      <w:divBdr>
        <w:top w:val="none" w:sz="0" w:space="0" w:color="auto"/>
        <w:left w:val="none" w:sz="0" w:space="0" w:color="auto"/>
        <w:bottom w:val="none" w:sz="0" w:space="0" w:color="auto"/>
        <w:right w:val="none" w:sz="0" w:space="0" w:color="auto"/>
      </w:divBdr>
    </w:div>
    <w:div w:id="1182821848">
      <w:bodyDiv w:val="1"/>
      <w:marLeft w:val="0"/>
      <w:marRight w:val="0"/>
      <w:marTop w:val="0"/>
      <w:marBottom w:val="0"/>
      <w:divBdr>
        <w:top w:val="none" w:sz="0" w:space="0" w:color="auto"/>
        <w:left w:val="none" w:sz="0" w:space="0" w:color="auto"/>
        <w:bottom w:val="none" w:sz="0" w:space="0" w:color="auto"/>
        <w:right w:val="none" w:sz="0" w:space="0" w:color="auto"/>
      </w:divBdr>
    </w:div>
    <w:div w:id="1186558855">
      <w:bodyDiv w:val="1"/>
      <w:marLeft w:val="0"/>
      <w:marRight w:val="0"/>
      <w:marTop w:val="0"/>
      <w:marBottom w:val="0"/>
      <w:divBdr>
        <w:top w:val="none" w:sz="0" w:space="0" w:color="auto"/>
        <w:left w:val="none" w:sz="0" w:space="0" w:color="auto"/>
        <w:bottom w:val="none" w:sz="0" w:space="0" w:color="auto"/>
        <w:right w:val="none" w:sz="0" w:space="0" w:color="auto"/>
      </w:divBdr>
    </w:div>
    <w:div w:id="1189487247">
      <w:bodyDiv w:val="1"/>
      <w:marLeft w:val="0"/>
      <w:marRight w:val="0"/>
      <w:marTop w:val="0"/>
      <w:marBottom w:val="0"/>
      <w:divBdr>
        <w:top w:val="none" w:sz="0" w:space="0" w:color="auto"/>
        <w:left w:val="none" w:sz="0" w:space="0" w:color="auto"/>
        <w:bottom w:val="none" w:sz="0" w:space="0" w:color="auto"/>
        <w:right w:val="none" w:sz="0" w:space="0" w:color="auto"/>
      </w:divBdr>
    </w:div>
    <w:div w:id="1208954526">
      <w:bodyDiv w:val="1"/>
      <w:marLeft w:val="0"/>
      <w:marRight w:val="0"/>
      <w:marTop w:val="0"/>
      <w:marBottom w:val="0"/>
      <w:divBdr>
        <w:top w:val="none" w:sz="0" w:space="0" w:color="auto"/>
        <w:left w:val="none" w:sz="0" w:space="0" w:color="auto"/>
        <w:bottom w:val="none" w:sz="0" w:space="0" w:color="auto"/>
        <w:right w:val="none" w:sz="0" w:space="0" w:color="auto"/>
      </w:divBdr>
    </w:div>
    <w:div w:id="1237130874">
      <w:bodyDiv w:val="1"/>
      <w:marLeft w:val="0"/>
      <w:marRight w:val="0"/>
      <w:marTop w:val="0"/>
      <w:marBottom w:val="0"/>
      <w:divBdr>
        <w:top w:val="none" w:sz="0" w:space="0" w:color="auto"/>
        <w:left w:val="none" w:sz="0" w:space="0" w:color="auto"/>
        <w:bottom w:val="none" w:sz="0" w:space="0" w:color="auto"/>
        <w:right w:val="none" w:sz="0" w:space="0" w:color="auto"/>
      </w:divBdr>
    </w:div>
    <w:div w:id="1274367510">
      <w:bodyDiv w:val="1"/>
      <w:marLeft w:val="0"/>
      <w:marRight w:val="0"/>
      <w:marTop w:val="0"/>
      <w:marBottom w:val="0"/>
      <w:divBdr>
        <w:top w:val="none" w:sz="0" w:space="0" w:color="auto"/>
        <w:left w:val="none" w:sz="0" w:space="0" w:color="auto"/>
        <w:bottom w:val="none" w:sz="0" w:space="0" w:color="auto"/>
        <w:right w:val="none" w:sz="0" w:space="0" w:color="auto"/>
      </w:divBdr>
    </w:div>
    <w:div w:id="1294367925">
      <w:bodyDiv w:val="1"/>
      <w:marLeft w:val="0"/>
      <w:marRight w:val="0"/>
      <w:marTop w:val="0"/>
      <w:marBottom w:val="0"/>
      <w:divBdr>
        <w:top w:val="none" w:sz="0" w:space="0" w:color="auto"/>
        <w:left w:val="none" w:sz="0" w:space="0" w:color="auto"/>
        <w:bottom w:val="none" w:sz="0" w:space="0" w:color="auto"/>
        <w:right w:val="none" w:sz="0" w:space="0" w:color="auto"/>
      </w:divBdr>
    </w:div>
    <w:div w:id="1295677605">
      <w:bodyDiv w:val="1"/>
      <w:marLeft w:val="0"/>
      <w:marRight w:val="0"/>
      <w:marTop w:val="0"/>
      <w:marBottom w:val="0"/>
      <w:divBdr>
        <w:top w:val="none" w:sz="0" w:space="0" w:color="auto"/>
        <w:left w:val="none" w:sz="0" w:space="0" w:color="auto"/>
        <w:bottom w:val="none" w:sz="0" w:space="0" w:color="auto"/>
        <w:right w:val="none" w:sz="0" w:space="0" w:color="auto"/>
      </w:divBdr>
    </w:div>
    <w:div w:id="1335455412">
      <w:bodyDiv w:val="1"/>
      <w:marLeft w:val="0"/>
      <w:marRight w:val="0"/>
      <w:marTop w:val="0"/>
      <w:marBottom w:val="0"/>
      <w:divBdr>
        <w:top w:val="none" w:sz="0" w:space="0" w:color="auto"/>
        <w:left w:val="none" w:sz="0" w:space="0" w:color="auto"/>
        <w:bottom w:val="none" w:sz="0" w:space="0" w:color="auto"/>
        <w:right w:val="none" w:sz="0" w:space="0" w:color="auto"/>
      </w:divBdr>
    </w:div>
    <w:div w:id="1346899784">
      <w:bodyDiv w:val="1"/>
      <w:marLeft w:val="0"/>
      <w:marRight w:val="0"/>
      <w:marTop w:val="0"/>
      <w:marBottom w:val="0"/>
      <w:divBdr>
        <w:top w:val="none" w:sz="0" w:space="0" w:color="auto"/>
        <w:left w:val="none" w:sz="0" w:space="0" w:color="auto"/>
        <w:bottom w:val="none" w:sz="0" w:space="0" w:color="auto"/>
        <w:right w:val="none" w:sz="0" w:space="0" w:color="auto"/>
      </w:divBdr>
    </w:div>
    <w:div w:id="1367218299">
      <w:bodyDiv w:val="1"/>
      <w:marLeft w:val="0"/>
      <w:marRight w:val="0"/>
      <w:marTop w:val="0"/>
      <w:marBottom w:val="0"/>
      <w:divBdr>
        <w:top w:val="none" w:sz="0" w:space="0" w:color="auto"/>
        <w:left w:val="none" w:sz="0" w:space="0" w:color="auto"/>
        <w:bottom w:val="none" w:sz="0" w:space="0" w:color="auto"/>
        <w:right w:val="none" w:sz="0" w:space="0" w:color="auto"/>
      </w:divBdr>
    </w:div>
    <w:div w:id="1388138972">
      <w:bodyDiv w:val="1"/>
      <w:marLeft w:val="0"/>
      <w:marRight w:val="0"/>
      <w:marTop w:val="0"/>
      <w:marBottom w:val="0"/>
      <w:divBdr>
        <w:top w:val="none" w:sz="0" w:space="0" w:color="auto"/>
        <w:left w:val="none" w:sz="0" w:space="0" w:color="auto"/>
        <w:bottom w:val="none" w:sz="0" w:space="0" w:color="auto"/>
        <w:right w:val="none" w:sz="0" w:space="0" w:color="auto"/>
      </w:divBdr>
    </w:div>
    <w:div w:id="1401562985">
      <w:bodyDiv w:val="1"/>
      <w:marLeft w:val="0"/>
      <w:marRight w:val="0"/>
      <w:marTop w:val="0"/>
      <w:marBottom w:val="0"/>
      <w:divBdr>
        <w:top w:val="none" w:sz="0" w:space="0" w:color="auto"/>
        <w:left w:val="none" w:sz="0" w:space="0" w:color="auto"/>
        <w:bottom w:val="none" w:sz="0" w:space="0" w:color="auto"/>
        <w:right w:val="none" w:sz="0" w:space="0" w:color="auto"/>
      </w:divBdr>
    </w:div>
    <w:div w:id="1405184422">
      <w:bodyDiv w:val="1"/>
      <w:marLeft w:val="0"/>
      <w:marRight w:val="0"/>
      <w:marTop w:val="0"/>
      <w:marBottom w:val="0"/>
      <w:divBdr>
        <w:top w:val="none" w:sz="0" w:space="0" w:color="auto"/>
        <w:left w:val="none" w:sz="0" w:space="0" w:color="auto"/>
        <w:bottom w:val="none" w:sz="0" w:space="0" w:color="auto"/>
        <w:right w:val="none" w:sz="0" w:space="0" w:color="auto"/>
      </w:divBdr>
    </w:div>
    <w:div w:id="1467046712">
      <w:bodyDiv w:val="1"/>
      <w:marLeft w:val="0"/>
      <w:marRight w:val="0"/>
      <w:marTop w:val="0"/>
      <w:marBottom w:val="0"/>
      <w:divBdr>
        <w:top w:val="none" w:sz="0" w:space="0" w:color="auto"/>
        <w:left w:val="none" w:sz="0" w:space="0" w:color="auto"/>
        <w:bottom w:val="none" w:sz="0" w:space="0" w:color="auto"/>
        <w:right w:val="none" w:sz="0" w:space="0" w:color="auto"/>
      </w:divBdr>
    </w:div>
    <w:div w:id="1472941701">
      <w:bodyDiv w:val="1"/>
      <w:marLeft w:val="0"/>
      <w:marRight w:val="0"/>
      <w:marTop w:val="0"/>
      <w:marBottom w:val="0"/>
      <w:divBdr>
        <w:top w:val="none" w:sz="0" w:space="0" w:color="auto"/>
        <w:left w:val="none" w:sz="0" w:space="0" w:color="auto"/>
        <w:bottom w:val="none" w:sz="0" w:space="0" w:color="auto"/>
        <w:right w:val="none" w:sz="0" w:space="0" w:color="auto"/>
      </w:divBdr>
    </w:div>
    <w:div w:id="1492137646">
      <w:bodyDiv w:val="1"/>
      <w:marLeft w:val="0"/>
      <w:marRight w:val="0"/>
      <w:marTop w:val="0"/>
      <w:marBottom w:val="0"/>
      <w:divBdr>
        <w:top w:val="none" w:sz="0" w:space="0" w:color="auto"/>
        <w:left w:val="none" w:sz="0" w:space="0" w:color="auto"/>
        <w:bottom w:val="none" w:sz="0" w:space="0" w:color="auto"/>
        <w:right w:val="none" w:sz="0" w:space="0" w:color="auto"/>
      </w:divBdr>
    </w:div>
    <w:div w:id="1528911455">
      <w:bodyDiv w:val="1"/>
      <w:marLeft w:val="0"/>
      <w:marRight w:val="0"/>
      <w:marTop w:val="0"/>
      <w:marBottom w:val="0"/>
      <w:divBdr>
        <w:top w:val="none" w:sz="0" w:space="0" w:color="auto"/>
        <w:left w:val="none" w:sz="0" w:space="0" w:color="auto"/>
        <w:bottom w:val="none" w:sz="0" w:space="0" w:color="auto"/>
        <w:right w:val="none" w:sz="0" w:space="0" w:color="auto"/>
      </w:divBdr>
    </w:div>
    <w:div w:id="1568304585">
      <w:bodyDiv w:val="1"/>
      <w:marLeft w:val="0"/>
      <w:marRight w:val="0"/>
      <w:marTop w:val="0"/>
      <w:marBottom w:val="0"/>
      <w:divBdr>
        <w:top w:val="none" w:sz="0" w:space="0" w:color="auto"/>
        <w:left w:val="none" w:sz="0" w:space="0" w:color="auto"/>
        <w:bottom w:val="none" w:sz="0" w:space="0" w:color="auto"/>
        <w:right w:val="none" w:sz="0" w:space="0" w:color="auto"/>
      </w:divBdr>
    </w:div>
    <w:div w:id="1574122176">
      <w:bodyDiv w:val="1"/>
      <w:marLeft w:val="0"/>
      <w:marRight w:val="0"/>
      <w:marTop w:val="0"/>
      <w:marBottom w:val="0"/>
      <w:divBdr>
        <w:top w:val="none" w:sz="0" w:space="0" w:color="auto"/>
        <w:left w:val="none" w:sz="0" w:space="0" w:color="auto"/>
        <w:bottom w:val="none" w:sz="0" w:space="0" w:color="auto"/>
        <w:right w:val="none" w:sz="0" w:space="0" w:color="auto"/>
      </w:divBdr>
    </w:div>
    <w:div w:id="1593510485">
      <w:bodyDiv w:val="1"/>
      <w:marLeft w:val="0"/>
      <w:marRight w:val="0"/>
      <w:marTop w:val="0"/>
      <w:marBottom w:val="0"/>
      <w:divBdr>
        <w:top w:val="none" w:sz="0" w:space="0" w:color="auto"/>
        <w:left w:val="none" w:sz="0" w:space="0" w:color="auto"/>
        <w:bottom w:val="none" w:sz="0" w:space="0" w:color="auto"/>
        <w:right w:val="none" w:sz="0" w:space="0" w:color="auto"/>
      </w:divBdr>
    </w:div>
    <w:div w:id="1605457547">
      <w:bodyDiv w:val="1"/>
      <w:marLeft w:val="0"/>
      <w:marRight w:val="0"/>
      <w:marTop w:val="0"/>
      <w:marBottom w:val="0"/>
      <w:divBdr>
        <w:top w:val="none" w:sz="0" w:space="0" w:color="auto"/>
        <w:left w:val="none" w:sz="0" w:space="0" w:color="auto"/>
        <w:bottom w:val="none" w:sz="0" w:space="0" w:color="auto"/>
        <w:right w:val="none" w:sz="0" w:space="0" w:color="auto"/>
      </w:divBdr>
    </w:div>
    <w:div w:id="1606381813">
      <w:bodyDiv w:val="1"/>
      <w:marLeft w:val="0"/>
      <w:marRight w:val="0"/>
      <w:marTop w:val="0"/>
      <w:marBottom w:val="0"/>
      <w:divBdr>
        <w:top w:val="none" w:sz="0" w:space="0" w:color="auto"/>
        <w:left w:val="none" w:sz="0" w:space="0" w:color="auto"/>
        <w:bottom w:val="none" w:sz="0" w:space="0" w:color="auto"/>
        <w:right w:val="none" w:sz="0" w:space="0" w:color="auto"/>
      </w:divBdr>
    </w:div>
    <w:div w:id="1654023224">
      <w:bodyDiv w:val="1"/>
      <w:marLeft w:val="0"/>
      <w:marRight w:val="0"/>
      <w:marTop w:val="0"/>
      <w:marBottom w:val="0"/>
      <w:divBdr>
        <w:top w:val="none" w:sz="0" w:space="0" w:color="auto"/>
        <w:left w:val="none" w:sz="0" w:space="0" w:color="auto"/>
        <w:bottom w:val="none" w:sz="0" w:space="0" w:color="auto"/>
        <w:right w:val="none" w:sz="0" w:space="0" w:color="auto"/>
      </w:divBdr>
    </w:div>
    <w:div w:id="1658075279">
      <w:bodyDiv w:val="1"/>
      <w:marLeft w:val="0"/>
      <w:marRight w:val="0"/>
      <w:marTop w:val="0"/>
      <w:marBottom w:val="0"/>
      <w:divBdr>
        <w:top w:val="none" w:sz="0" w:space="0" w:color="auto"/>
        <w:left w:val="none" w:sz="0" w:space="0" w:color="auto"/>
        <w:bottom w:val="none" w:sz="0" w:space="0" w:color="auto"/>
        <w:right w:val="none" w:sz="0" w:space="0" w:color="auto"/>
      </w:divBdr>
    </w:div>
    <w:div w:id="1667977681">
      <w:bodyDiv w:val="1"/>
      <w:marLeft w:val="0"/>
      <w:marRight w:val="0"/>
      <w:marTop w:val="0"/>
      <w:marBottom w:val="0"/>
      <w:divBdr>
        <w:top w:val="none" w:sz="0" w:space="0" w:color="auto"/>
        <w:left w:val="none" w:sz="0" w:space="0" w:color="auto"/>
        <w:bottom w:val="none" w:sz="0" w:space="0" w:color="auto"/>
        <w:right w:val="none" w:sz="0" w:space="0" w:color="auto"/>
      </w:divBdr>
    </w:div>
    <w:div w:id="1669092738">
      <w:bodyDiv w:val="1"/>
      <w:marLeft w:val="0"/>
      <w:marRight w:val="0"/>
      <w:marTop w:val="0"/>
      <w:marBottom w:val="0"/>
      <w:divBdr>
        <w:top w:val="none" w:sz="0" w:space="0" w:color="auto"/>
        <w:left w:val="none" w:sz="0" w:space="0" w:color="auto"/>
        <w:bottom w:val="none" w:sz="0" w:space="0" w:color="auto"/>
        <w:right w:val="none" w:sz="0" w:space="0" w:color="auto"/>
      </w:divBdr>
    </w:div>
    <w:div w:id="1706173866">
      <w:bodyDiv w:val="1"/>
      <w:marLeft w:val="0"/>
      <w:marRight w:val="0"/>
      <w:marTop w:val="0"/>
      <w:marBottom w:val="0"/>
      <w:divBdr>
        <w:top w:val="none" w:sz="0" w:space="0" w:color="auto"/>
        <w:left w:val="none" w:sz="0" w:space="0" w:color="auto"/>
        <w:bottom w:val="none" w:sz="0" w:space="0" w:color="auto"/>
        <w:right w:val="none" w:sz="0" w:space="0" w:color="auto"/>
      </w:divBdr>
    </w:div>
    <w:div w:id="1741245404">
      <w:bodyDiv w:val="1"/>
      <w:marLeft w:val="0"/>
      <w:marRight w:val="0"/>
      <w:marTop w:val="0"/>
      <w:marBottom w:val="0"/>
      <w:divBdr>
        <w:top w:val="none" w:sz="0" w:space="0" w:color="auto"/>
        <w:left w:val="none" w:sz="0" w:space="0" w:color="auto"/>
        <w:bottom w:val="none" w:sz="0" w:space="0" w:color="auto"/>
        <w:right w:val="none" w:sz="0" w:space="0" w:color="auto"/>
      </w:divBdr>
    </w:div>
    <w:div w:id="1758476736">
      <w:bodyDiv w:val="1"/>
      <w:marLeft w:val="0"/>
      <w:marRight w:val="0"/>
      <w:marTop w:val="0"/>
      <w:marBottom w:val="0"/>
      <w:divBdr>
        <w:top w:val="none" w:sz="0" w:space="0" w:color="auto"/>
        <w:left w:val="none" w:sz="0" w:space="0" w:color="auto"/>
        <w:bottom w:val="none" w:sz="0" w:space="0" w:color="auto"/>
        <w:right w:val="none" w:sz="0" w:space="0" w:color="auto"/>
      </w:divBdr>
    </w:div>
    <w:div w:id="1758747608">
      <w:bodyDiv w:val="1"/>
      <w:marLeft w:val="0"/>
      <w:marRight w:val="0"/>
      <w:marTop w:val="0"/>
      <w:marBottom w:val="0"/>
      <w:divBdr>
        <w:top w:val="none" w:sz="0" w:space="0" w:color="auto"/>
        <w:left w:val="none" w:sz="0" w:space="0" w:color="auto"/>
        <w:bottom w:val="none" w:sz="0" w:space="0" w:color="auto"/>
        <w:right w:val="none" w:sz="0" w:space="0" w:color="auto"/>
      </w:divBdr>
    </w:div>
    <w:div w:id="1766998275">
      <w:bodyDiv w:val="1"/>
      <w:marLeft w:val="0"/>
      <w:marRight w:val="0"/>
      <w:marTop w:val="0"/>
      <w:marBottom w:val="0"/>
      <w:divBdr>
        <w:top w:val="none" w:sz="0" w:space="0" w:color="auto"/>
        <w:left w:val="none" w:sz="0" w:space="0" w:color="auto"/>
        <w:bottom w:val="none" w:sz="0" w:space="0" w:color="auto"/>
        <w:right w:val="none" w:sz="0" w:space="0" w:color="auto"/>
      </w:divBdr>
    </w:div>
    <w:div w:id="1775398289">
      <w:bodyDiv w:val="1"/>
      <w:marLeft w:val="0"/>
      <w:marRight w:val="0"/>
      <w:marTop w:val="0"/>
      <w:marBottom w:val="0"/>
      <w:divBdr>
        <w:top w:val="none" w:sz="0" w:space="0" w:color="auto"/>
        <w:left w:val="none" w:sz="0" w:space="0" w:color="auto"/>
        <w:bottom w:val="none" w:sz="0" w:space="0" w:color="auto"/>
        <w:right w:val="none" w:sz="0" w:space="0" w:color="auto"/>
      </w:divBdr>
    </w:div>
    <w:div w:id="1782216563">
      <w:bodyDiv w:val="1"/>
      <w:marLeft w:val="0"/>
      <w:marRight w:val="0"/>
      <w:marTop w:val="0"/>
      <w:marBottom w:val="0"/>
      <w:divBdr>
        <w:top w:val="none" w:sz="0" w:space="0" w:color="auto"/>
        <w:left w:val="none" w:sz="0" w:space="0" w:color="auto"/>
        <w:bottom w:val="none" w:sz="0" w:space="0" w:color="auto"/>
        <w:right w:val="none" w:sz="0" w:space="0" w:color="auto"/>
      </w:divBdr>
    </w:div>
    <w:div w:id="1834494522">
      <w:bodyDiv w:val="1"/>
      <w:marLeft w:val="0"/>
      <w:marRight w:val="0"/>
      <w:marTop w:val="0"/>
      <w:marBottom w:val="0"/>
      <w:divBdr>
        <w:top w:val="none" w:sz="0" w:space="0" w:color="auto"/>
        <w:left w:val="none" w:sz="0" w:space="0" w:color="auto"/>
        <w:bottom w:val="none" w:sz="0" w:space="0" w:color="auto"/>
        <w:right w:val="none" w:sz="0" w:space="0" w:color="auto"/>
      </w:divBdr>
    </w:div>
    <w:div w:id="1834836166">
      <w:bodyDiv w:val="1"/>
      <w:marLeft w:val="0"/>
      <w:marRight w:val="0"/>
      <w:marTop w:val="0"/>
      <w:marBottom w:val="0"/>
      <w:divBdr>
        <w:top w:val="none" w:sz="0" w:space="0" w:color="auto"/>
        <w:left w:val="none" w:sz="0" w:space="0" w:color="auto"/>
        <w:bottom w:val="none" w:sz="0" w:space="0" w:color="auto"/>
        <w:right w:val="none" w:sz="0" w:space="0" w:color="auto"/>
      </w:divBdr>
    </w:div>
    <w:div w:id="1837959210">
      <w:bodyDiv w:val="1"/>
      <w:marLeft w:val="0"/>
      <w:marRight w:val="0"/>
      <w:marTop w:val="0"/>
      <w:marBottom w:val="0"/>
      <w:divBdr>
        <w:top w:val="none" w:sz="0" w:space="0" w:color="auto"/>
        <w:left w:val="none" w:sz="0" w:space="0" w:color="auto"/>
        <w:bottom w:val="none" w:sz="0" w:space="0" w:color="auto"/>
        <w:right w:val="none" w:sz="0" w:space="0" w:color="auto"/>
      </w:divBdr>
    </w:div>
    <w:div w:id="1896772899">
      <w:bodyDiv w:val="1"/>
      <w:marLeft w:val="0"/>
      <w:marRight w:val="0"/>
      <w:marTop w:val="0"/>
      <w:marBottom w:val="0"/>
      <w:divBdr>
        <w:top w:val="none" w:sz="0" w:space="0" w:color="auto"/>
        <w:left w:val="none" w:sz="0" w:space="0" w:color="auto"/>
        <w:bottom w:val="none" w:sz="0" w:space="0" w:color="auto"/>
        <w:right w:val="none" w:sz="0" w:space="0" w:color="auto"/>
      </w:divBdr>
    </w:div>
    <w:div w:id="1911960007">
      <w:bodyDiv w:val="1"/>
      <w:marLeft w:val="0"/>
      <w:marRight w:val="0"/>
      <w:marTop w:val="0"/>
      <w:marBottom w:val="0"/>
      <w:divBdr>
        <w:top w:val="none" w:sz="0" w:space="0" w:color="auto"/>
        <w:left w:val="none" w:sz="0" w:space="0" w:color="auto"/>
        <w:bottom w:val="none" w:sz="0" w:space="0" w:color="auto"/>
        <w:right w:val="none" w:sz="0" w:space="0" w:color="auto"/>
      </w:divBdr>
    </w:div>
    <w:div w:id="1930307494">
      <w:bodyDiv w:val="1"/>
      <w:marLeft w:val="0"/>
      <w:marRight w:val="0"/>
      <w:marTop w:val="0"/>
      <w:marBottom w:val="0"/>
      <w:divBdr>
        <w:top w:val="none" w:sz="0" w:space="0" w:color="auto"/>
        <w:left w:val="none" w:sz="0" w:space="0" w:color="auto"/>
        <w:bottom w:val="none" w:sz="0" w:space="0" w:color="auto"/>
        <w:right w:val="none" w:sz="0" w:space="0" w:color="auto"/>
      </w:divBdr>
    </w:div>
    <w:div w:id="1950382665">
      <w:bodyDiv w:val="1"/>
      <w:marLeft w:val="0"/>
      <w:marRight w:val="0"/>
      <w:marTop w:val="0"/>
      <w:marBottom w:val="0"/>
      <w:divBdr>
        <w:top w:val="none" w:sz="0" w:space="0" w:color="auto"/>
        <w:left w:val="none" w:sz="0" w:space="0" w:color="auto"/>
        <w:bottom w:val="none" w:sz="0" w:space="0" w:color="auto"/>
        <w:right w:val="none" w:sz="0" w:space="0" w:color="auto"/>
      </w:divBdr>
    </w:div>
    <w:div w:id="1987929422">
      <w:bodyDiv w:val="1"/>
      <w:marLeft w:val="0"/>
      <w:marRight w:val="0"/>
      <w:marTop w:val="0"/>
      <w:marBottom w:val="0"/>
      <w:divBdr>
        <w:top w:val="none" w:sz="0" w:space="0" w:color="auto"/>
        <w:left w:val="none" w:sz="0" w:space="0" w:color="auto"/>
        <w:bottom w:val="none" w:sz="0" w:space="0" w:color="auto"/>
        <w:right w:val="none" w:sz="0" w:space="0" w:color="auto"/>
      </w:divBdr>
    </w:div>
    <w:div w:id="2007202854">
      <w:bodyDiv w:val="1"/>
      <w:marLeft w:val="0"/>
      <w:marRight w:val="0"/>
      <w:marTop w:val="0"/>
      <w:marBottom w:val="0"/>
      <w:divBdr>
        <w:top w:val="none" w:sz="0" w:space="0" w:color="auto"/>
        <w:left w:val="none" w:sz="0" w:space="0" w:color="auto"/>
        <w:bottom w:val="none" w:sz="0" w:space="0" w:color="auto"/>
        <w:right w:val="none" w:sz="0" w:space="0" w:color="auto"/>
      </w:divBdr>
    </w:div>
    <w:div w:id="2035182665">
      <w:bodyDiv w:val="1"/>
      <w:marLeft w:val="0"/>
      <w:marRight w:val="0"/>
      <w:marTop w:val="0"/>
      <w:marBottom w:val="0"/>
      <w:divBdr>
        <w:top w:val="none" w:sz="0" w:space="0" w:color="auto"/>
        <w:left w:val="none" w:sz="0" w:space="0" w:color="auto"/>
        <w:bottom w:val="none" w:sz="0" w:space="0" w:color="auto"/>
        <w:right w:val="none" w:sz="0" w:space="0" w:color="auto"/>
      </w:divBdr>
    </w:div>
    <w:div w:id="2042440870">
      <w:bodyDiv w:val="1"/>
      <w:marLeft w:val="0"/>
      <w:marRight w:val="0"/>
      <w:marTop w:val="0"/>
      <w:marBottom w:val="0"/>
      <w:divBdr>
        <w:top w:val="none" w:sz="0" w:space="0" w:color="auto"/>
        <w:left w:val="none" w:sz="0" w:space="0" w:color="auto"/>
        <w:bottom w:val="none" w:sz="0" w:space="0" w:color="auto"/>
        <w:right w:val="none" w:sz="0" w:space="0" w:color="auto"/>
      </w:divBdr>
    </w:div>
    <w:div w:id="2050302609">
      <w:bodyDiv w:val="1"/>
      <w:marLeft w:val="0"/>
      <w:marRight w:val="0"/>
      <w:marTop w:val="0"/>
      <w:marBottom w:val="0"/>
      <w:divBdr>
        <w:top w:val="none" w:sz="0" w:space="0" w:color="auto"/>
        <w:left w:val="none" w:sz="0" w:space="0" w:color="auto"/>
        <w:bottom w:val="none" w:sz="0" w:space="0" w:color="auto"/>
        <w:right w:val="none" w:sz="0" w:space="0" w:color="auto"/>
      </w:divBdr>
    </w:div>
    <w:div w:id="2128619616">
      <w:bodyDiv w:val="1"/>
      <w:marLeft w:val="0"/>
      <w:marRight w:val="0"/>
      <w:marTop w:val="0"/>
      <w:marBottom w:val="0"/>
      <w:divBdr>
        <w:top w:val="none" w:sz="0" w:space="0" w:color="auto"/>
        <w:left w:val="none" w:sz="0" w:space="0" w:color="auto"/>
        <w:bottom w:val="none" w:sz="0" w:space="0" w:color="auto"/>
        <w:right w:val="none" w:sz="0" w:space="0" w:color="auto"/>
      </w:divBdr>
    </w:div>
    <w:div w:id="2136440827">
      <w:bodyDiv w:val="1"/>
      <w:marLeft w:val="0"/>
      <w:marRight w:val="0"/>
      <w:marTop w:val="0"/>
      <w:marBottom w:val="0"/>
      <w:divBdr>
        <w:top w:val="none" w:sz="0" w:space="0" w:color="auto"/>
        <w:left w:val="none" w:sz="0" w:space="0" w:color="auto"/>
        <w:bottom w:val="none" w:sz="0" w:space="0" w:color="auto"/>
        <w:right w:val="none" w:sz="0" w:space="0" w:color="auto"/>
      </w:divBdr>
    </w:div>
    <w:div w:id="214704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D4264BCC1B4CA983326AAA87935048"/>
        <w:category>
          <w:name w:val="General"/>
          <w:gallery w:val="placeholder"/>
        </w:category>
        <w:types>
          <w:type w:val="bbPlcHdr"/>
        </w:types>
        <w:behaviors>
          <w:behavior w:val="content"/>
        </w:behaviors>
        <w:guid w:val="{329A1CD6-F65D-4B28-BEF9-D2FB3A4A6B8F}"/>
      </w:docPartPr>
      <w:docPartBody>
        <w:p w:rsidR="00A510DD" w:rsidRDefault="00AC4D48" w:rsidP="00AC4D48">
          <w:pPr>
            <w:pStyle w:val="D6D4264BCC1B4CA983326AAA87935048"/>
          </w:pPr>
          <w:r>
            <w:rPr>
              <w:rStyle w:val="PlaceholderText"/>
              <w:rFonts w:ascii="Arial" w:hAnsi="Arial" w:cs="Arial"/>
            </w:rPr>
            <w:t>Click or tap here to enter text.</w:t>
          </w:r>
        </w:p>
      </w:docPartBody>
    </w:docPart>
    <w:docPart>
      <w:docPartPr>
        <w:name w:val="7B7349664F7D4E6CAE36DC85C66B1521"/>
        <w:category>
          <w:name w:val="General"/>
          <w:gallery w:val="placeholder"/>
        </w:category>
        <w:types>
          <w:type w:val="bbPlcHdr"/>
        </w:types>
        <w:behaviors>
          <w:behavior w:val="content"/>
        </w:behaviors>
        <w:guid w:val="{6097CFBF-56AE-453F-BE6C-5C6F638ADE0D}"/>
      </w:docPartPr>
      <w:docPartBody>
        <w:p w:rsidR="00A510DD" w:rsidRDefault="00AC4D48" w:rsidP="00AC4D48">
          <w:pPr>
            <w:pStyle w:val="7B7349664F7D4E6CAE36DC85C66B1521"/>
          </w:pPr>
          <w:r>
            <w:rPr>
              <w:rStyle w:val="PlaceholderText"/>
              <w:rFonts w:ascii="Arial" w:hAnsi="Arial" w:cs="Arial"/>
            </w:rPr>
            <w:t>Click or tap here to enter text.</w:t>
          </w:r>
        </w:p>
      </w:docPartBody>
    </w:docPart>
    <w:docPart>
      <w:docPartPr>
        <w:name w:val="1A95FE81896E4721B1CC75BAC0A41BAF"/>
        <w:category>
          <w:name w:val="General"/>
          <w:gallery w:val="placeholder"/>
        </w:category>
        <w:types>
          <w:type w:val="bbPlcHdr"/>
        </w:types>
        <w:behaviors>
          <w:behavior w:val="content"/>
        </w:behaviors>
        <w:guid w:val="{4F6F7F8B-67EB-4063-93DA-4E8270FDFA72}"/>
      </w:docPartPr>
      <w:docPartBody>
        <w:p w:rsidR="00A510DD" w:rsidRDefault="00AC4D48" w:rsidP="00AC4D48">
          <w:pPr>
            <w:pStyle w:val="1A95FE81896E4721B1CC75BAC0A41BAF"/>
          </w:pPr>
          <w:r>
            <w:rPr>
              <w:rStyle w:val="PlaceholderText"/>
              <w:rFonts w:ascii="Arial" w:hAnsi="Arial" w:cs="Arial"/>
            </w:rPr>
            <w:t>Click or tap here to enter text.</w:t>
          </w:r>
        </w:p>
      </w:docPartBody>
    </w:docPart>
    <w:docPart>
      <w:docPartPr>
        <w:name w:val="BAE9AAA45A6843379ABC3E9BB9B70498"/>
        <w:category>
          <w:name w:val="General"/>
          <w:gallery w:val="placeholder"/>
        </w:category>
        <w:types>
          <w:type w:val="bbPlcHdr"/>
        </w:types>
        <w:behaviors>
          <w:behavior w:val="content"/>
        </w:behaviors>
        <w:guid w:val="{395AE8BC-9810-4216-B2A7-90A727A4A748}"/>
      </w:docPartPr>
      <w:docPartBody>
        <w:p w:rsidR="00A510DD" w:rsidRDefault="00AC4D48" w:rsidP="00AC4D48">
          <w:pPr>
            <w:pStyle w:val="BAE9AAA45A6843379ABC3E9BB9B70498"/>
          </w:pPr>
          <w:r>
            <w:rPr>
              <w:rStyle w:val="PlaceholderText"/>
              <w:rFonts w:ascii="Arial" w:hAnsi="Arial" w:cs="Arial"/>
            </w:rPr>
            <w:t>Click or tap here to enter text.</w:t>
          </w:r>
        </w:p>
      </w:docPartBody>
    </w:docPart>
    <w:docPart>
      <w:docPartPr>
        <w:name w:val="2611A9A85F2A46F3A6E7307716FBC0E7"/>
        <w:category>
          <w:name w:val="General"/>
          <w:gallery w:val="placeholder"/>
        </w:category>
        <w:types>
          <w:type w:val="bbPlcHdr"/>
        </w:types>
        <w:behaviors>
          <w:behavior w:val="content"/>
        </w:behaviors>
        <w:guid w:val="{3A33872D-0B0D-44DC-BBBC-A01EAB53E99F}"/>
      </w:docPartPr>
      <w:docPartBody>
        <w:p w:rsidR="00A510DD" w:rsidRDefault="00AC4D48" w:rsidP="00AC4D48">
          <w:pPr>
            <w:pStyle w:val="2611A9A85F2A46F3A6E7307716FBC0E7"/>
          </w:pPr>
          <w:r>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48"/>
    <w:rsid w:val="00A510DD"/>
    <w:rsid w:val="00AC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D48"/>
  </w:style>
  <w:style w:type="paragraph" w:customStyle="1" w:styleId="D6D4264BCC1B4CA983326AAA87935048">
    <w:name w:val="D6D4264BCC1B4CA983326AAA87935048"/>
    <w:rsid w:val="00AC4D48"/>
  </w:style>
  <w:style w:type="paragraph" w:customStyle="1" w:styleId="7B7349664F7D4E6CAE36DC85C66B1521">
    <w:name w:val="7B7349664F7D4E6CAE36DC85C66B1521"/>
    <w:rsid w:val="00AC4D48"/>
  </w:style>
  <w:style w:type="paragraph" w:customStyle="1" w:styleId="1A95FE81896E4721B1CC75BAC0A41BAF">
    <w:name w:val="1A95FE81896E4721B1CC75BAC0A41BAF"/>
    <w:rsid w:val="00AC4D48"/>
  </w:style>
  <w:style w:type="paragraph" w:customStyle="1" w:styleId="BAE9AAA45A6843379ABC3E9BB9B70498">
    <w:name w:val="BAE9AAA45A6843379ABC3E9BB9B70498"/>
    <w:rsid w:val="00AC4D48"/>
  </w:style>
  <w:style w:type="paragraph" w:customStyle="1" w:styleId="2611A9A85F2A46F3A6E7307716FBC0E7">
    <w:name w:val="2611A9A85F2A46F3A6E7307716FBC0E7"/>
    <w:rsid w:val="00AC4D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94</Pages>
  <Words>26735</Words>
  <Characters>152393</Characters>
  <Application>Microsoft Office Word</Application>
  <DocSecurity>4</DocSecurity>
  <Lines>1269</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Harrington</dc:creator>
  <cp:keywords/>
  <dc:description/>
  <cp:lastModifiedBy>Daniella Ferri</cp:lastModifiedBy>
  <cp:revision>2</cp:revision>
  <dcterms:created xsi:type="dcterms:W3CDTF">2021-03-09T15:46:00Z</dcterms:created>
  <dcterms:modified xsi:type="dcterms:W3CDTF">2021-03-09T15:46:00Z</dcterms:modified>
</cp:coreProperties>
</file>