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2D" w:rsidRPr="0098762D" w:rsidRDefault="0098762D" w:rsidP="0098762D">
      <w:pPr>
        <w:jc w:val="center"/>
        <w:rPr>
          <w:rFonts w:ascii="Arial" w:eastAsia="Times New Roman" w:hAnsi="Arial" w:cs="Arial"/>
          <w:sz w:val="23"/>
          <w:szCs w:val="23"/>
        </w:rPr>
      </w:pPr>
      <w:r w:rsidRPr="0098762D">
        <w:rPr>
          <w:rFonts w:ascii="Arial" w:eastAsia="Times New Roman" w:hAnsi="Arial" w:cs="Arial"/>
          <w:color w:val="000000"/>
          <w:sz w:val="23"/>
          <w:szCs w:val="23"/>
        </w:rPr>
        <w:t>Position Statement Proposal</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Committee: New York City Chapter of Health-system Pharmacists</w:t>
      </w:r>
    </w:p>
    <w:p w:rsidR="0098762D" w:rsidRDefault="0098762D" w:rsidP="0098762D">
      <w:pPr>
        <w:rPr>
          <w:rFonts w:ascii="Arial" w:eastAsia="Times New Roman" w:hAnsi="Arial" w:cs="Arial"/>
          <w:color w:val="000000"/>
          <w:sz w:val="23"/>
          <w:szCs w:val="23"/>
        </w:rPr>
      </w:pPr>
      <w:r w:rsidRPr="0098762D">
        <w:rPr>
          <w:rFonts w:ascii="Arial" w:eastAsia="Times New Roman" w:hAnsi="Arial" w:cs="Arial"/>
          <w:color w:val="000000"/>
          <w:sz w:val="23"/>
          <w:szCs w:val="23"/>
        </w:rPr>
        <w:t xml:space="preserve">Topic: Call for </w:t>
      </w:r>
      <w:r w:rsidR="00486CB4">
        <w:rPr>
          <w:rFonts w:ascii="Arial" w:eastAsia="Times New Roman" w:hAnsi="Arial" w:cs="Arial"/>
          <w:color w:val="000000"/>
          <w:sz w:val="23"/>
          <w:szCs w:val="23"/>
        </w:rPr>
        <w:t>IV Workflow Systems within</w:t>
      </w:r>
      <w:r w:rsidRPr="0098762D">
        <w:rPr>
          <w:rFonts w:ascii="Arial" w:eastAsia="Times New Roman" w:hAnsi="Arial" w:cs="Arial"/>
          <w:color w:val="000000"/>
          <w:sz w:val="23"/>
          <w:szCs w:val="23"/>
        </w:rPr>
        <w:t xml:space="preserve"> Institutions in New York</w:t>
      </w:r>
    </w:p>
    <w:p w:rsidR="00486CB4" w:rsidRPr="0098762D" w:rsidRDefault="00486CB4" w:rsidP="0098762D">
      <w:pPr>
        <w:rPr>
          <w:rFonts w:ascii="Arial" w:eastAsia="Times New Roman" w:hAnsi="Arial" w:cs="Arial"/>
          <w:sz w:val="23"/>
          <w:szCs w:val="23"/>
        </w:rPr>
      </w:pP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xml:space="preserve">Sponsored: Emily Messing and </w:t>
      </w:r>
      <w:r w:rsidR="001A2E59">
        <w:rPr>
          <w:rFonts w:ascii="Arial" w:eastAsia="Times New Roman" w:hAnsi="Arial" w:cs="Arial"/>
          <w:color w:val="000000"/>
          <w:sz w:val="23"/>
          <w:szCs w:val="23"/>
        </w:rPr>
        <w:t>Charrai Byrd</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Whereas, progress has been made to improve medication-use safety within institutions, medication errors persist in healthcare, and,</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Whereas, errors in intravenous (IV) compounding are among the most likely pharmacy errors to cause patient harm</w:t>
      </w:r>
      <w:r w:rsidRPr="0098762D">
        <w:rPr>
          <w:rFonts w:ascii="Arial" w:eastAsia="Times New Roman" w:hAnsi="Arial" w:cs="Arial"/>
          <w:color w:val="000000"/>
          <w:sz w:val="23"/>
          <w:szCs w:val="23"/>
          <w:vertAlign w:val="superscript"/>
        </w:rPr>
        <w:t>3</w:t>
      </w:r>
      <w:r w:rsidRPr="0098762D">
        <w:rPr>
          <w:rFonts w:ascii="Arial" w:eastAsia="Times New Roman" w:hAnsi="Arial" w:cs="Arial"/>
          <w:color w:val="000000"/>
          <w:sz w:val="23"/>
          <w:szCs w:val="23"/>
        </w:rPr>
        <w:t>, and,</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Whereas, specifically between 2004 and 2011, the Institute for Safe Medication Practices (ISMP) reported serious compounding errors involving 16 patients, 9 of which were fatal, mostly due to wrong concentration/ strength, or wrong product or diluent</w:t>
      </w:r>
      <w:r w:rsidRPr="0098762D">
        <w:rPr>
          <w:rFonts w:ascii="Arial" w:eastAsia="Times New Roman" w:hAnsi="Arial" w:cs="Arial"/>
          <w:color w:val="000000"/>
          <w:sz w:val="23"/>
          <w:szCs w:val="23"/>
          <w:vertAlign w:val="superscript"/>
        </w:rPr>
        <w:t>4</w:t>
      </w:r>
      <w:r w:rsidRPr="0098762D">
        <w:rPr>
          <w:rFonts w:ascii="Arial" w:eastAsia="Times New Roman" w:hAnsi="Arial" w:cs="Arial"/>
          <w:color w:val="000000"/>
          <w:sz w:val="23"/>
          <w:szCs w:val="23"/>
        </w:rPr>
        <w:t>, and,</w:t>
      </w:r>
    </w:p>
    <w:p w:rsidR="0098762D" w:rsidRPr="0098762D" w:rsidRDefault="0098762D" w:rsidP="0098762D">
      <w:pPr>
        <w:rPr>
          <w:rFonts w:ascii="Arial" w:eastAsia="Times New Roman" w:hAnsi="Arial" w:cs="Arial"/>
          <w:sz w:val="23"/>
          <w:szCs w:val="23"/>
        </w:rPr>
      </w:pP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xml:space="preserve">Whereas, </w:t>
      </w:r>
      <w:r w:rsidR="00D0427D">
        <w:rPr>
          <w:rFonts w:ascii="Arial" w:eastAsia="Times New Roman" w:hAnsi="Arial" w:cs="Arial"/>
          <w:color w:val="141414"/>
          <w:sz w:val="23"/>
          <w:szCs w:val="23"/>
          <w:shd w:val="clear" w:color="auto" w:fill="FFFFFF"/>
        </w:rPr>
        <w:t>data submitted to ISMP’s Medication Error Reporting Program</w:t>
      </w:r>
      <w:r w:rsidRPr="0098762D">
        <w:rPr>
          <w:rFonts w:ascii="Arial" w:eastAsia="Times New Roman" w:hAnsi="Arial" w:cs="Arial"/>
          <w:color w:val="141414"/>
          <w:sz w:val="23"/>
          <w:szCs w:val="23"/>
          <w:shd w:val="clear" w:color="auto" w:fill="FFFFFF"/>
        </w:rPr>
        <w:t>, ISMP MERP, have shown that manual verification of intravenous admixture ingredients by pharmacy personnel who prepare solutions and pharmacists who inspect the final products is not particularly effective in detecting and correcting errors</w:t>
      </w:r>
      <w:r w:rsidRPr="0098762D">
        <w:rPr>
          <w:rFonts w:ascii="Arial" w:eastAsia="Times New Roman" w:hAnsi="Arial" w:cs="Arial"/>
          <w:color w:val="000000"/>
          <w:sz w:val="23"/>
          <w:szCs w:val="23"/>
          <w:vertAlign w:val="superscript"/>
        </w:rPr>
        <w:t>5</w:t>
      </w:r>
      <w:r w:rsidRPr="0098762D">
        <w:rPr>
          <w:rFonts w:ascii="Arial" w:eastAsia="Times New Roman" w:hAnsi="Arial" w:cs="Arial"/>
          <w:color w:val="000000"/>
          <w:sz w:val="23"/>
          <w:szCs w:val="23"/>
        </w:rPr>
        <w:t>, and,</w:t>
      </w:r>
    </w:p>
    <w:p w:rsidR="0098762D" w:rsidRPr="0098762D" w:rsidRDefault="0098762D" w:rsidP="0098762D">
      <w:pPr>
        <w:rPr>
          <w:rFonts w:ascii="Arial" w:eastAsia="Times New Roman" w:hAnsi="Arial" w:cs="Arial"/>
          <w:sz w:val="23"/>
          <w:szCs w:val="23"/>
        </w:rPr>
      </w:pP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Whereas, IV robotics and IV room workflow systems offer additional safeguards and advantages in comparison to traditional methods of IV compounding that result in decreased errors, decreased waste, operational efficiency, and a retrievable electronic audit trail</w:t>
      </w:r>
      <w:r w:rsidRPr="0098762D">
        <w:rPr>
          <w:rFonts w:ascii="Arial" w:eastAsia="Times New Roman" w:hAnsi="Arial" w:cs="Arial"/>
          <w:color w:val="000000"/>
          <w:sz w:val="23"/>
          <w:szCs w:val="23"/>
          <w:vertAlign w:val="superscript"/>
        </w:rPr>
        <w:t>6</w:t>
      </w:r>
      <w:r w:rsidRPr="0098762D">
        <w:rPr>
          <w:rFonts w:ascii="Arial" w:eastAsia="Times New Roman" w:hAnsi="Arial" w:cs="Arial"/>
          <w:color w:val="000000"/>
          <w:sz w:val="23"/>
          <w:szCs w:val="23"/>
        </w:rPr>
        <w:t>, and,</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i/>
          <w:iCs/>
          <w:color w:val="000000"/>
          <w:sz w:val="23"/>
          <w:szCs w:val="23"/>
        </w:rPr>
        <w:t>Resolved</w:t>
      </w:r>
      <w:r w:rsidRPr="0098762D">
        <w:rPr>
          <w:rFonts w:ascii="Arial" w:eastAsia="Times New Roman" w:hAnsi="Arial" w:cs="Arial"/>
          <w:color w:val="000000"/>
          <w:sz w:val="23"/>
          <w:szCs w:val="23"/>
        </w:rPr>
        <w:t>, that: The New York State Council of Health-system Pharmacists supports the recommendation for all hospitals to utilize IV workflow system technology when preparing IV compounds to decrease the chance of compounding medication errors.</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Date: ________________</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By: </w:t>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2B215D" w:rsidRDefault="002B215D" w:rsidP="0098762D">
      <w:pPr>
        <w:rPr>
          <w:rFonts w:ascii="Arial" w:eastAsia="Times New Roman" w:hAnsi="Arial" w:cs="Arial"/>
          <w:color w:val="000000"/>
          <w:sz w:val="23"/>
          <w:szCs w:val="23"/>
        </w:rPr>
      </w:pPr>
    </w:p>
    <w:p w:rsidR="002B215D" w:rsidRDefault="002B215D" w:rsidP="0098762D">
      <w:pPr>
        <w:rPr>
          <w:rFonts w:ascii="Arial" w:eastAsia="Times New Roman" w:hAnsi="Arial" w:cs="Arial"/>
          <w:color w:val="000000"/>
          <w:sz w:val="23"/>
          <w:szCs w:val="23"/>
        </w:rPr>
      </w:pP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xml:space="preserve">Emily Messing, </w:t>
      </w:r>
      <w:proofErr w:type="spellStart"/>
      <w:r w:rsidRPr="0098762D">
        <w:rPr>
          <w:rFonts w:ascii="Arial" w:eastAsia="Times New Roman" w:hAnsi="Arial" w:cs="Arial"/>
          <w:color w:val="000000"/>
          <w:sz w:val="23"/>
          <w:szCs w:val="23"/>
        </w:rPr>
        <w:t>PharmD</w:t>
      </w:r>
      <w:proofErr w:type="spellEnd"/>
      <w:r w:rsidRPr="0098762D">
        <w:rPr>
          <w:rFonts w:ascii="Arial" w:eastAsia="Times New Roman" w:hAnsi="Arial" w:cs="Arial"/>
          <w:color w:val="000000"/>
          <w:sz w:val="23"/>
          <w:szCs w:val="23"/>
        </w:rPr>
        <w:t>, BCPS</w:t>
      </w:r>
      <w:r w:rsidRPr="0098762D">
        <w:rPr>
          <w:rFonts w:ascii="Arial" w:eastAsia="Times New Roman" w:hAnsi="Arial" w:cs="Arial"/>
          <w:color w:val="000000"/>
          <w:sz w:val="23"/>
          <w:szCs w:val="23"/>
        </w:rPr>
        <w:tab/>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xml:space="preserve">Signature of NYSCHP Active Member 1                           </w:t>
      </w:r>
      <w:r w:rsidRPr="0098762D">
        <w:rPr>
          <w:rFonts w:ascii="Arial" w:eastAsia="Times New Roman" w:hAnsi="Arial" w:cs="Arial"/>
          <w:color w:val="000000"/>
          <w:sz w:val="23"/>
          <w:szCs w:val="23"/>
        </w:rPr>
        <w:tab/>
      </w: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w:t>
      </w:r>
    </w:p>
    <w:p w:rsidR="002B215D" w:rsidRDefault="002B215D" w:rsidP="0098762D">
      <w:pPr>
        <w:rPr>
          <w:rFonts w:ascii="Arial" w:eastAsia="Times New Roman" w:hAnsi="Arial" w:cs="Arial"/>
          <w:color w:val="000000"/>
          <w:sz w:val="23"/>
          <w:szCs w:val="23"/>
        </w:rPr>
      </w:pPr>
    </w:p>
    <w:p w:rsidR="002B215D" w:rsidRDefault="002B215D" w:rsidP="0098762D">
      <w:pPr>
        <w:rPr>
          <w:rFonts w:ascii="Arial" w:eastAsia="Times New Roman" w:hAnsi="Arial" w:cs="Arial"/>
          <w:color w:val="000000"/>
          <w:sz w:val="23"/>
          <w:szCs w:val="23"/>
        </w:rPr>
      </w:pPr>
    </w:p>
    <w:p w:rsidR="0098762D" w:rsidRPr="0098762D" w:rsidRDefault="0098762D" w:rsidP="0098762D">
      <w:pPr>
        <w:rPr>
          <w:rFonts w:ascii="Arial" w:eastAsia="Times New Roman" w:hAnsi="Arial" w:cs="Arial"/>
          <w:sz w:val="23"/>
          <w:szCs w:val="23"/>
        </w:rPr>
      </w:pPr>
      <w:r w:rsidRPr="0098762D">
        <w:rPr>
          <w:rFonts w:ascii="Arial" w:eastAsia="Times New Roman" w:hAnsi="Arial" w:cs="Arial"/>
          <w:color w:val="000000"/>
          <w:sz w:val="23"/>
          <w:szCs w:val="23"/>
        </w:rPr>
        <w:t xml:space="preserve">Charrai Byrd, </w:t>
      </w:r>
      <w:proofErr w:type="spellStart"/>
      <w:proofErr w:type="gramStart"/>
      <w:r w:rsidRPr="0098762D">
        <w:rPr>
          <w:rFonts w:ascii="Arial" w:eastAsia="Times New Roman" w:hAnsi="Arial" w:cs="Arial"/>
          <w:color w:val="000000"/>
          <w:sz w:val="23"/>
          <w:szCs w:val="23"/>
        </w:rPr>
        <w:t>PharmD</w:t>
      </w:r>
      <w:proofErr w:type="spellEnd"/>
      <w:r w:rsidRPr="0098762D">
        <w:rPr>
          <w:rFonts w:ascii="Arial" w:eastAsia="Times New Roman" w:hAnsi="Arial" w:cs="Arial"/>
          <w:color w:val="000000"/>
          <w:sz w:val="23"/>
          <w:szCs w:val="23"/>
        </w:rPr>
        <w:t>.,</w:t>
      </w:r>
      <w:proofErr w:type="gramEnd"/>
      <w:r w:rsidRPr="0098762D">
        <w:rPr>
          <w:rFonts w:ascii="Arial" w:eastAsia="Times New Roman" w:hAnsi="Arial" w:cs="Arial"/>
          <w:color w:val="000000"/>
          <w:sz w:val="23"/>
          <w:szCs w:val="23"/>
        </w:rPr>
        <w:t xml:space="preserve"> </w:t>
      </w:r>
      <w:proofErr w:type="spellStart"/>
      <w:r w:rsidRPr="0098762D">
        <w:rPr>
          <w:rFonts w:ascii="Arial" w:eastAsia="Times New Roman" w:hAnsi="Arial" w:cs="Arial"/>
          <w:color w:val="000000"/>
          <w:sz w:val="23"/>
          <w:szCs w:val="23"/>
        </w:rPr>
        <w:t>RPh</w:t>
      </w:r>
      <w:proofErr w:type="spellEnd"/>
    </w:p>
    <w:p w:rsidR="0098762D" w:rsidRDefault="0098762D" w:rsidP="0098762D">
      <w:pPr>
        <w:rPr>
          <w:rFonts w:ascii="Arial" w:eastAsia="Times New Roman" w:hAnsi="Arial" w:cs="Arial"/>
          <w:color w:val="000000"/>
          <w:sz w:val="23"/>
          <w:szCs w:val="23"/>
        </w:rPr>
      </w:pPr>
      <w:r w:rsidRPr="0098762D">
        <w:rPr>
          <w:rFonts w:ascii="Arial" w:eastAsia="Times New Roman" w:hAnsi="Arial" w:cs="Arial"/>
          <w:color w:val="000000"/>
          <w:sz w:val="23"/>
          <w:szCs w:val="23"/>
        </w:rPr>
        <w:t>Signature of NYSCHP Active Member 2</w:t>
      </w:r>
    </w:p>
    <w:p w:rsidR="002B215D" w:rsidRDefault="002B215D" w:rsidP="0098762D">
      <w:pPr>
        <w:rPr>
          <w:rFonts w:ascii="Arial" w:eastAsia="Times New Roman" w:hAnsi="Arial" w:cs="Arial"/>
          <w:color w:val="000000"/>
          <w:sz w:val="23"/>
          <w:szCs w:val="23"/>
        </w:rPr>
      </w:pPr>
    </w:p>
    <w:p w:rsidR="002B215D" w:rsidRPr="0098762D" w:rsidRDefault="002B215D" w:rsidP="0098762D">
      <w:pPr>
        <w:rPr>
          <w:rFonts w:ascii="Arial" w:eastAsia="Times New Roman" w:hAnsi="Arial" w:cs="Arial"/>
          <w:sz w:val="23"/>
          <w:szCs w:val="23"/>
        </w:rPr>
      </w:pPr>
    </w:p>
    <w:p w:rsidR="002B215D" w:rsidRDefault="002B215D" w:rsidP="0098762D">
      <w:pPr>
        <w:rPr>
          <w:rFonts w:ascii="Arial" w:eastAsia="Times New Roman" w:hAnsi="Arial" w:cs="Arial"/>
          <w:sz w:val="23"/>
          <w:szCs w:val="23"/>
        </w:rPr>
      </w:pPr>
    </w:p>
    <w:p w:rsidR="0098762D" w:rsidRDefault="002B215D" w:rsidP="0098762D">
      <w:pPr>
        <w:rPr>
          <w:rFonts w:ascii="Arial" w:eastAsia="Times New Roman" w:hAnsi="Arial" w:cs="Arial"/>
          <w:sz w:val="23"/>
          <w:szCs w:val="23"/>
        </w:rPr>
      </w:pPr>
      <w:r>
        <w:rPr>
          <w:rFonts w:ascii="Arial" w:eastAsia="Times New Roman" w:hAnsi="Arial" w:cs="Arial"/>
          <w:sz w:val="23"/>
          <w:szCs w:val="23"/>
        </w:rPr>
        <w:t xml:space="preserve">Frank </w:t>
      </w:r>
      <w:proofErr w:type="spellStart"/>
      <w:r>
        <w:rPr>
          <w:rFonts w:ascii="Arial" w:eastAsia="Times New Roman" w:hAnsi="Arial" w:cs="Arial"/>
          <w:sz w:val="23"/>
          <w:szCs w:val="23"/>
        </w:rPr>
        <w:t>Sonsowski</w:t>
      </w:r>
      <w:proofErr w:type="spellEnd"/>
      <w:r>
        <w:rPr>
          <w:rFonts w:ascii="Arial" w:eastAsia="Times New Roman" w:hAnsi="Arial" w:cs="Arial"/>
          <w:sz w:val="23"/>
          <w:szCs w:val="23"/>
        </w:rPr>
        <w:t xml:space="preserve">, </w:t>
      </w:r>
      <w:proofErr w:type="spellStart"/>
      <w:r>
        <w:rPr>
          <w:rFonts w:ascii="Arial" w:eastAsia="Times New Roman" w:hAnsi="Arial" w:cs="Arial"/>
          <w:sz w:val="23"/>
          <w:szCs w:val="23"/>
        </w:rPr>
        <w:t>BPharm</w:t>
      </w:r>
      <w:proofErr w:type="spellEnd"/>
      <w:r>
        <w:rPr>
          <w:rFonts w:ascii="Arial" w:eastAsia="Times New Roman" w:hAnsi="Arial" w:cs="Arial"/>
          <w:sz w:val="23"/>
          <w:szCs w:val="23"/>
        </w:rPr>
        <w:t xml:space="preserve">, </w:t>
      </w:r>
      <w:proofErr w:type="spellStart"/>
      <w:r>
        <w:rPr>
          <w:rFonts w:ascii="Arial" w:eastAsia="Times New Roman" w:hAnsi="Arial" w:cs="Arial"/>
          <w:sz w:val="23"/>
          <w:szCs w:val="23"/>
        </w:rPr>
        <w:t>RPh</w:t>
      </w:r>
      <w:proofErr w:type="spellEnd"/>
    </w:p>
    <w:p w:rsidR="002B215D" w:rsidRDefault="002B215D" w:rsidP="0098762D">
      <w:pPr>
        <w:rPr>
          <w:rFonts w:ascii="Arial" w:eastAsia="Times New Roman" w:hAnsi="Arial" w:cs="Arial"/>
          <w:sz w:val="23"/>
          <w:szCs w:val="23"/>
        </w:rPr>
      </w:pPr>
      <w:r>
        <w:rPr>
          <w:rFonts w:ascii="Arial" w:eastAsia="Times New Roman" w:hAnsi="Arial" w:cs="Arial"/>
          <w:sz w:val="23"/>
          <w:szCs w:val="23"/>
        </w:rPr>
        <w:t>Signature of NYSCHP Active Member 3</w:t>
      </w:r>
    </w:p>
    <w:p w:rsidR="0098762D" w:rsidRDefault="0098762D" w:rsidP="0098762D">
      <w:pPr>
        <w:jc w:val="center"/>
        <w:rPr>
          <w:rFonts w:ascii="Arial" w:eastAsia="Times New Roman" w:hAnsi="Arial" w:cs="Arial"/>
          <w:color w:val="000000"/>
          <w:sz w:val="23"/>
          <w:szCs w:val="23"/>
        </w:rPr>
      </w:pPr>
      <w:bookmarkStart w:id="0" w:name="_GoBack"/>
      <w:bookmarkEnd w:id="0"/>
    </w:p>
    <w:p w:rsidR="0098762D" w:rsidRPr="0098762D" w:rsidRDefault="0098762D" w:rsidP="0098762D">
      <w:pPr>
        <w:spacing w:line="360" w:lineRule="auto"/>
        <w:jc w:val="center"/>
        <w:rPr>
          <w:rFonts w:ascii="Arial" w:eastAsia="Times New Roman" w:hAnsi="Arial" w:cs="Arial"/>
          <w:sz w:val="23"/>
          <w:szCs w:val="23"/>
        </w:rPr>
      </w:pPr>
      <w:r w:rsidRPr="0098762D">
        <w:rPr>
          <w:rFonts w:ascii="Arial" w:eastAsia="Times New Roman" w:hAnsi="Arial" w:cs="Arial"/>
          <w:color w:val="000000"/>
          <w:sz w:val="23"/>
          <w:szCs w:val="23"/>
        </w:rPr>
        <w:t>References</w:t>
      </w:r>
    </w:p>
    <w:p w:rsidR="0098762D" w:rsidRPr="0098762D" w:rsidRDefault="0098762D" w:rsidP="0098762D">
      <w:pPr>
        <w:numPr>
          <w:ilvl w:val="0"/>
          <w:numId w:val="1"/>
        </w:numPr>
        <w:spacing w:line="360" w:lineRule="auto"/>
        <w:textAlignment w:val="baseline"/>
        <w:rPr>
          <w:rFonts w:ascii="Arial" w:eastAsia="Times New Roman" w:hAnsi="Arial" w:cs="Arial"/>
          <w:color w:val="000000"/>
          <w:sz w:val="23"/>
          <w:szCs w:val="23"/>
        </w:rPr>
      </w:pPr>
      <w:r w:rsidRPr="0098762D">
        <w:rPr>
          <w:rFonts w:ascii="Arial" w:eastAsia="Times New Roman" w:hAnsi="Arial" w:cs="Arial"/>
          <w:color w:val="000000"/>
          <w:sz w:val="23"/>
          <w:szCs w:val="23"/>
        </w:rPr>
        <w:t xml:space="preserve">Kohn L, Corrigan J, Donaldson M, </w:t>
      </w:r>
      <w:proofErr w:type="gramStart"/>
      <w:r w:rsidRPr="0098762D">
        <w:rPr>
          <w:rFonts w:ascii="Arial" w:eastAsia="Times New Roman" w:hAnsi="Arial" w:cs="Arial"/>
          <w:color w:val="000000"/>
          <w:sz w:val="23"/>
          <w:szCs w:val="23"/>
        </w:rPr>
        <w:t>eds</w:t>
      </w:r>
      <w:proofErr w:type="gramEnd"/>
      <w:r w:rsidRPr="0098762D">
        <w:rPr>
          <w:rFonts w:ascii="Arial" w:eastAsia="Times New Roman" w:hAnsi="Arial" w:cs="Arial"/>
          <w:color w:val="000000"/>
          <w:sz w:val="23"/>
          <w:szCs w:val="23"/>
        </w:rPr>
        <w:t>. To Err Is Human: Building a Safer Health System. Washington, DC: Committee on Quality of Health Care in America, Institute of Medicine. Washington, DC: National Academies Press; 1999.</w:t>
      </w:r>
    </w:p>
    <w:p w:rsidR="0098762D" w:rsidRPr="0098762D" w:rsidRDefault="0098762D" w:rsidP="0098762D">
      <w:pPr>
        <w:numPr>
          <w:ilvl w:val="0"/>
          <w:numId w:val="1"/>
        </w:numPr>
        <w:spacing w:line="360" w:lineRule="auto"/>
        <w:textAlignment w:val="baseline"/>
        <w:rPr>
          <w:rFonts w:ascii="Arial" w:eastAsia="Times New Roman" w:hAnsi="Arial" w:cs="Arial"/>
          <w:color w:val="000000"/>
          <w:sz w:val="23"/>
          <w:szCs w:val="23"/>
        </w:rPr>
      </w:pPr>
      <w:r w:rsidRPr="0098762D">
        <w:rPr>
          <w:rFonts w:ascii="Arial" w:eastAsia="Times New Roman" w:hAnsi="Arial" w:cs="Arial"/>
          <w:color w:val="000000"/>
          <w:sz w:val="23"/>
          <w:szCs w:val="23"/>
        </w:rPr>
        <w:t xml:space="preserve">2018-2019 Targeted Medication Safety Best Practices for Hospitals. </w:t>
      </w:r>
      <w:r w:rsidRPr="0098762D">
        <w:rPr>
          <w:rFonts w:ascii="Arial" w:eastAsia="Times New Roman" w:hAnsi="Arial" w:cs="Arial"/>
          <w:i/>
          <w:iCs/>
          <w:color w:val="000000"/>
          <w:sz w:val="23"/>
          <w:szCs w:val="23"/>
        </w:rPr>
        <w:t>Institute for Safe Medication Practices</w:t>
      </w:r>
      <w:r w:rsidRPr="0098762D">
        <w:rPr>
          <w:rFonts w:ascii="Arial" w:eastAsia="Times New Roman" w:hAnsi="Arial" w:cs="Arial"/>
          <w:color w:val="000000"/>
          <w:sz w:val="23"/>
          <w:szCs w:val="23"/>
        </w:rPr>
        <w:t xml:space="preserve">. Available at: </w:t>
      </w:r>
      <w:hyperlink r:id="rId5" w:history="1">
        <w:r w:rsidRPr="0098762D">
          <w:rPr>
            <w:rFonts w:ascii="Arial" w:eastAsia="Times New Roman" w:hAnsi="Arial" w:cs="Arial"/>
            <w:color w:val="1155CC"/>
            <w:sz w:val="23"/>
            <w:szCs w:val="23"/>
            <w:u w:val="single"/>
          </w:rPr>
          <w:t>https://www.ismp.org/sites/default/files/attachments/2019-01/TMSBP-for-Hospitalsv2.pdf</w:t>
        </w:r>
      </w:hyperlink>
      <w:r w:rsidRPr="0098762D">
        <w:rPr>
          <w:rFonts w:ascii="Arial" w:eastAsia="Times New Roman" w:hAnsi="Arial" w:cs="Arial"/>
          <w:color w:val="000000"/>
          <w:sz w:val="23"/>
          <w:szCs w:val="23"/>
        </w:rPr>
        <w:t>. Accessed October 22, 2019.</w:t>
      </w:r>
    </w:p>
    <w:p w:rsidR="0098762D" w:rsidRPr="0098762D" w:rsidRDefault="0098762D" w:rsidP="0098762D">
      <w:pPr>
        <w:numPr>
          <w:ilvl w:val="0"/>
          <w:numId w:val="1"/>
        </w:numPr>
        <w:shd w:val="clear" w:color="auto" w:fill="FFFFFF"/>
        <w:spacing w:line="360" w:lineRule="auto"/>
        <w:textAlignment w:val="baseline"/>
        <w:rPr>
          <w:rFonts w:ascii="Arial" w:eastAsia="Times New Roman" w:hAnsi="Arial" w:cs="Arial"/>
          <w:color w:val="000000"/>
          <w:sz w:val="23"/>
          <w:szCs w:val="23"/>
        </w:rPr>
      </w:pPr>
      <w:r w:rsidRPr="0098762D">
        <w:rPr>
          <w:rFonts w:ascii="Arial" w:eastAsia="Times New Roman" w:hAnsi="Arial" w:cs="Arial"/>
          <w:color w:val="000000"/>
          <w:sz w:val="23"/>
          <w:szCs w:val="23"/>
        </w:rPr>
        <w:t xml:space="preserve">Maximize Benefits of IV Workflow Management Systems by Addressing Workarounds and Errors. </w:t>
      </w:r>
      <w:r w:rsidRPr="0098762D">
        <w:rPr>
          <w:rFonts w:ascii="Arial" w:eastAsia="Times New Roman" w:hAnsi="Arial" w:cs="Arial"/>
          <w:i/>
          <w:iCs/>
          <w:color w:val="000000"/>
          <w:sz w:val="23"/>
          <w:szCs w:val="23"/>
        </w:rPr>
        <w:t>Institute for Safe Medication Practices</w:t>
      </w:r>
      <w:r w:rsidRPr="0098762D">
        <w:rPr>
          <w:rFonts w:ascii="Arial" w:eastAsia="Times New Roman" w:hAnsi="Arial" w:cs="Arial"/>
          <w:color w:val="000000"/>
          <w:sz w:val="23"/>
          <w:szCs w:val="23"/>
        </w:rPr>
        <w:t xml:space="preserve">. Available at: </w:t>
      </w:r>
      <w:hyperlink r:id="rId6" w:history="1">
        <w:r w:rsidRPr="0098762D">
          <w:rPr>
            <w:rFonts w:ascii="Arial" w:eastAsia="Times New Roman" w:hAnsi="Arial" w:cs="Arial"/>
            <w:color w:val="1155CC"/>
            <w:sz w:val="23"/>
            <w:szCs w:val="23"/>
            <w:u w:val="single"/>
          </w:rPr>
          <w:t>https://www.ismp.org/resources/maximize-benefits-iv-workflow-management-systems-addressing-workarounds-and-errors</w:t>
        </w:r>
      </w:hyperlink>
      <w:r w:rsidRPr="0098762D">
        <w:rPr>
          <w:rFonts w:ascii="Arial" w:eastAsia="Times New Roman" w:hAnsi="Arial" w:cs="Arial"/>
          <w:color w:val="000000"/>
          <w:sz w:val="23"/>
          <w:szCs w:val="23"/>
        </w:rPr>
        <w:t>. Accessed October 22, 2019.</w:t>
      </w:r>
    </w:p>
    <w:p w:rsidR="0098762D" w:rsidRPr="0098762D" w:rsidRDefault="0098762D" w:rsidP="0098762D">
      <w:pPr>
        <w:numPr>
          <w:ilvl w:val="0"/>
          <w:numId w:val="1"/>
        </w:numPr>
        <w:shd w:val="clear" w:color="auto" w:fill="FFFFFF"/>
        <w:spacing w:line="360" w:lineRule="auto"/>
        <w:textAlignment w:val="baseline"/>
        <w:rPr>
          <w:rFonts w:ascii="Arial" w:eastAsia="Times New Roman" w:hAnsi="Arial" w:cs="Arial"/>
          <w:color w:val="000000"/>
          <w:sz w:val="23"/>
          <w:szCs w:val="23"/>
        </w:rPr>
      </w:pPr>
      <w:r w:rsidRPr="0098762D">
        <w:rPr>
          <w:rFonts w:ascii="Arial" w:eastAsia="Times New Roman" w:hAnsi="Arial" w:cs="Arial"/>
          <w:color w:val="000000"/>
          <w:sz w:val="23"/>
          <w:szCs w:val="23"/>
        </w:rPr>
        <w:t xml:space="preserve">Current State of IV Workflow Systems and IV Robotics. </w:t>
      </w:r>
      <w:r w:rsidRPr="0098762D">
        <w:rPr>
          <w:rFonts w:ascii="Arial" w:eastAsia="Times New Roman" w:hAnsi="Arial" w:cs="Arial"/>
          <w:i/>
          <w:iCs/>
          <w:color w:val="000000"/>
          <w:sz w:val="23"/>
          <w:szCs w:val="23"/>
        </w:rPr>
        <w:t>Prepared by AHSP Section of Pharmacy Informatics and Technology, Section Advisory Group on Pharmacy Operations Automation</w:t>
      </w:r>
      <w:r w:rsidRPr="0098762D">
        <w:rPr>
          <w:rFonts w:ascii="Arial" w:eastAsia="Times New Roman" w:hAnsi="Arial" w:cs="Arial"/>
          <w:color w:val="000000"/>
          <w:sz w:val="23"/>
          <w:szCs w:val="23"/>
        </w:rPr>
        <w:t xml:space="preserve">. Available at: </w:t>
      </w:r>
      <w:hyperlink r:id="rId7" w:history="1">
        <w:r w:rsidRPr="0098762D">
          <w:rPr>
            <w:rFonts w:ascii="Arial" w:eastAsia="Times New Roman" w:hAnsi="Arial" w:cs="Arial"/>
            <w:color w:val="1155CC"/>
            <w:sz w:val="23"/>
            <w:szCs w:val="23"/>
            <w:u w:val="single"/>
          </w:rPr>
          <w:t>https://www.ashp.org/-/media/assets/pharmacy-informaticist/docs/sopit-current-state-of-iv-workflow-systems-and-iv-robotics.pdf</w:t>
        </w:r>
      </w:hyperlink>
      <w:r w:rsidRPr="0098762D">
        <w:rPr>
          <w:rFonts w:ascii="Arial" w:eastAsia="Times New Roman" w:hAnsi="Arial" w:cs="Arial"/>
          <w:color w:val="000000"/>
          <w:sz w:val="23"/>
          <w:szCs w:val="23"/>
        </w:rPr>
        <w:t>. Accessed October 22, 2019.</w:t>
      </w:r>
    </w:p>
    <w:p w:rsidR="00A20849" w:rsidRPr="0098762D" w:rsidRDefault="00A20849">
      <w:pPr>
        <w:rPr>
          <w:rFonts w:ascii="Arial" w:hAnsi="Arial" w:cs="Arial"/>
          <w:sz w:val="23"/>
          <w:szCs w:val="23"/>
        </w:rPr>
      </w:pPr>
    </w:p>
    <w:sectPr w:rsidR="00A20849" w:rsidRPr="0098762D" w:rsidSect="0098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16EB"/>
    <w:multiLevelType w:val="multilevel"/>
    <w:tmpl w:val="FAD2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2D"/>
    <w:rsid w:val="001A2E59"/>
    <w:rsid w:val="002B215D"/>
    <w:rsid w:val="00486CB4"/>
    <w:rsid w:val="00981DBF"/>
    <w:rsid w:val="0098762D"/>
    <w:rsid w:val="00A20849"/>
    <w:rsid w:val="00D0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BA3F"/>
  <w15:chartTrackingRefBased/>
  <w15:docId w15:val="{B4108631-212B-E043-BDC1-F12537C4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62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8762D"/>
  </w:style>
  <w:style w:type="character" w:styleId="Hyperlink">
    <w:name w:val="Hyperlink"/>
    <w:basedOn w:val="DefaultParagraphFont"/>
    <w:uiPriority w:val="99"/>
    <w:semiHidden/>
    <w:unhideWhenUsed/>
    <w:rsid w:val="00987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hp.org/-/media/assets/pharmacy-informaticist/docs/sopit-current-state-of-iv-workflow-systems-and-iv-robot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mp.org/resources/maximize-benefits-iv-workflow-management-systems-addressing-workarounds-and-errors" TargetMode="External"/><Relationship Id="rId5" Type="http://schemas.openxmlformats.org/officeDocument/2006/relationships/hyperlink" Target="https://www.ismp.org/sites/default/files/attachments/2019-01/TMSBP-for-Hospitalsv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Charrai Byrd</cp:lastModifiedBy>
  <cp:revision>4</cp:revision>
  <dcterms:created xsi:type="dcterms:W3CDTF">2020-01-09T19:54:00Z</dcterms:created>
  <dcterms:modified xsi:type="dcterms:W3CDTF">2020-02-13T09:04:00Z</dcterms:modified>
</cp:coreProperties>
</file>