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5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4720"/>
        <w:gridCol w:w="4980"/>
      </w:tblGrid>
      <w:tr w:rsidR="006049E2" w:rsidRPr="00EE5561" w14:paraId="09865FF3" w14:textId="77777777" w:rsidTr="006049E2">
        <w:trPr>
          <w:trHeight w:val="350"/>
        </w:trPr>
        <w:tc>
          <w:tcPr>
            <w:tcW w:w="1550" w:type="dxa"/>
            <w:shd w:val="clear" w:color="auto" w:fill="D9D9D9" w:themeFill="background1" w:themeFillShade="D9"/>
            <w:noWrap/>
            <w:hideMark/>
          </w:tcPr>
          <w:p w14:paraId="040CF624" w14:textId="7BF27330" w:rsidR="006049E2" w:rsidRPr="00EE5561" w:rsidRDefault="006049E2" w:rsidP="006049E2">
            <w:pPr>
              <w:jc w:val="center"/>
              <w:rPr>
                <w:rFonts w:eastAsia="Times New Roman"/>
                <w:b/>
                <w:bCs/>
                <w:sz w:val="20"/>
                <w:szCs w:val="20"/>
              </w:rPr>
            </w:pPr>
            <w:r w:rsidRPr="00EE5561">
              <w:rPr>
                <w:rFonts w:eastAsia="Times New Roman"/>
                <w:b/>
                <w:bCs/>
                <w:sz w:val="20"/>
                <w:szCs w:val="20"/>
              </w:rPr>
              <w:t>RESOLUTION</w:t>
            </w:r>
          </w:p>
        </w:tc>
        <w:tc>
          <w:tcPr>
            <w:tcW w:w="4720" w:type="dxa"/>
            <w:shd w:val="clear" w:color="auto" w:fill="D9D9D9" w:themeFill="background1" w:themeFillShade="D9"/>
            <w:hideMark/>
          </w:tcPr>
          <w:p w14:paraId="004B72BD" w14:textId="1F39F725" w:rsidR="006049E2" w:rsidRPr="00EE5561" w:rsidRDefault="006049E2" w:rsidP="006049E2">
            <w:pPr>
              <w:jc w:val="center"/>
              <w:rPr>
                <w:rFonts w:eastAsia="Times New Roman"/>
                <w:b/>
                <w:bCs/>
                <w:sz w:val="20"/>
                <w:szCs w:val="20"/>
              </w:rPr>
            </w:pPr>
            <w:r w:rsidRPr="00EE5561">
              <w:rPr>
                <w:rFonts w:eastAsia="Times New Roman"/>
                <w:b/>
                <w:bCs/>
                <w:sz w:val="20"/>
                <w:szCs w:val="20"/>
              </w:rPr>
              <w:t>POSITION STATEMENT</w:t>
            </w:r>
          </w:p>
        </w:tc>
        <w:tc>
          <w:tcPr>
            <w:tcW w:w="4980" w:type="dxa"/>
            <w:shd w:val="clear" w:color="auto" w:fill="D9D9D9" w:themeFill="background1" w:themeFillShade="D9"/>
          </w:tcPr>
          <w:p w14:paraId="697D5DDA" w14:textId="77777777" w:rsidR="006049E2" w:rsidRPr="00EE5561" w:rsidRDefault="006049E2" w:rsidP="006049E2">
            <w:pPr>
              <w:jc w:val="center"/>
              <w:rPr>
                <w:rFonts w:eastAsia="Times New Roman"/>
                <w:b/>
                <w:bCs/>
                <w:sz w:val="20"/>
                <w:szCs w:val="20"/>
              </w:rPr>
            </w:pPr>
            <w:r w:rsidRPr="00EE5561">
              <w:rPr>
                <w:rFonts w:eastAsia="Times New Roman"/>
                <w:b/>
                <w:bCs/>
                <w:sz w:val="20"/>
                <w:szCs w:val="20"/>
              </w:rPr>
              <w:t>RECOMMENDATION</w:t>
            </w:r>
          </w:p>
        </w:tc>
      </w:tr>
      <w:tr w:rsidR="006049E2" w:rsidRPr="00EE5561" w14:paraId="5CAF3C20" w14:textId="77777777" w:rsidTr="006049E2">
        <w:trPr>
          <w:trHeight w:val="260"/>
        </w:trPr>
        <w:tc>
          <w:tcPr>
            <w:tcW w:w="11250" w:type="dxa"/>
            <w:gridSpan w:val="3"/>
            <w:shd w:val="clear" w:color="auto" w:fill="auto"/>
            <w:noWrap/>
          </w:tcPr>
          <w:p w14:paraId="52A69BAE" w14:textId="70FBFFE9" w:rsidR="006049E2" w:rsidRPr="006049E2" w:rsidRDefault="006049E2" w:rsidP="006049E2">
            <w:pPr>
              <w:jc w:val="center"/>
              <w:rPr>
                <w:rFonts w:eastAsia="Times New Roman"/>
                <w:bCs/>
                <w:sz w:val="20"/>
                <w:szCs w:val="20"/>
              </w:rPr>
            </w:pPr>
            <w:r w:rsidRPr="006B1214">
              <w:rPr>
                <w:rFonts w:eastAsia="Times New Roman"/>
                <w:sz w:val="20"/>
                <w:szCs w:val="20"/>
              </w:rPr>
              <w:t>Reviewed by Membership Committee</w:t>
            </w:r>
          </w:p>
        </w:tc>
      </w:tr>
      <w:tr w:rsidR="006049E2" w:rsidRPr="00EE5561" w14:paraId="5F0288CA" w14:textId="77777777" w:rsidTr="006049E2">
        <w:trPr>
          <w:trHeight w:val="863"/>
        </w:trPr>
        <w:tc>
          <w:tcPr>
            <w:tcW w:w="1550" w:type="dxa"/>
            <w:shd w:val="clear" w:color="auto" w:fill="auto"/>
            <w:noWrap/>
          </w:tcPr>
          <w:p w14:paraId="5F76CC1D" w14:textId="53AF59FC" w:rsidR="006049E2" w:rsidRPr="00EE5561" w:rsidRDefault="006049E2" w:rsidP="006049E2">
            <w:pPr>
              <w:rPr>
                <w:rFonts w:eastAsia="Times New Roman"/>
                <w:sz w:val="20"/>
                <w:szCs w:val="20"/>
              </w:rPr>
            </w:pPr>
            <w:r w:rsidRPr="006B1214">
              <w:rPr>
                <w:rFonts w:eastAsia="Times New Roman"/>
                <w:color w:val="000000"/>
                <w:sz w:val="20"/>
                <w:szCs w:val="20"/>
              </w:rPr>
              <w:t>(07-17)</w:t>
            </w:r>
          </w:p>
        </w:tc>
        <w:tc>
          <w:tcPr>
            <w:tcW w:w="4720" w:type="dxa"/>
            <w:shd w:val="clear" w:color="auto" w:fill="auto"/>
          </w:tcPr>
          <w:p w14:paraId="6B81654D" w14:textId="49BE57A4" w:rsidR="006049E2" w:rsidRPr="00EE5561" w:rsidRDefault="006049E2" w:rsidP="006049E2">
            <w:pPr>
              <w:rPr>
                <w:rFonts w:eastAsia="Times New Roman"/>
                <w:sz w:val="20"/>
                <w:szCs w:val="20"/>
              </w:rPr>
            </w:pPr>
            <w:r w:rsidRPr="001371F9">
              <w:rPr>
                <w:rFonts w:eastAsia="Times New Roman"/>
                <w:sz w:val="20"/>
                <w:szCs w:val="20"/>
              </w:rPr>
              <w:t>NYSCHP invites all pharmacists and technicians practicing within health-systems, including ambulatory and community settings, to join the organization and engage in Council activities and initiatives to collaborate across the continuum of care. Further, NYSCHP advocates for, represents, and educates practitioners in those settings.</w:t>
            </w:r>
          </w:p>
        </w:tc>
        <w:tc>
          <w:tcPr>
            <w:tcW w:w="4980" w:type="dxa"/>
            <w:shd w:val="clear" w:color="auto" w:fill="auto"/>
          </w:tcPr>
          <w:p w14:paraId="463ABBCD" w14:textId="77777777" w:rsidR="006049E2" w:rsidRDefault="006049E2" w:rsidP="006049E2">
            <w:pPr>
              <w:rPr>
                <w:rFonts w:eastAsia="Times New Roman"/>
                <w:sz w:val="20"/>
                <w:szCs w:val="20"/>
              </w:rPr>
            </w:pPr>
            <w:r w:rsidRPr="006B1214">
              <w:rPr>
                <w:rFonts w:eastAsia="Times New Roman"/>
                <w:sz w:val="20"/>
                <w:szCs w:val="20"/>
              </w:rPr>
              <w:t xml:space="preserve">Amended:  </w:t>
            </w:r>
          </w:p>
          <w:p w14:paraId="5643880E" w14:textId="77777777" w:rsidR="006049E2" w:rsidRDefault="006049E2" w:rsidP="006049E2">
            <w:pPr>
              <w:rPr>
                <w:rFonts w:eastAsia="Times New Roman"/>
                <w:sz w:val="20"/>
                <w:szCs w:val="20"/>
              </w:rPr>
            </w:pPr>
          </w:p>
          <w:p w14:paraId="77C76018" w14:textId="77777777" w:rsidR="006049E2" w:rsidRPr="006B1214" w:rsidRDefault="006049E2" w:rsidP="006049E2">
            <w:pPr>
              <w:rPr>
                <w:rFonts w:eastAsia="Times New Roman"/>
                <w:color w:val="000000"/>
                <w:sz w:val="20"/>
                <w:szCs w:val="20"/>
              </w:rPr>
            </w:pPr>
            <w:r w:rsidRPr="006B1214">
              <w:rPr>
                <w:rFonts w:eastAsia="Times New Roman"/>
                <w:color w:val="000000"/>
                <w:sz w:val="20"/>
                <w:szCs w:val="20"/>
              </w:rPr>
              <w:t>NYSCHP invites all pharmacists, student pharmacists, and pharmacy technicians practicing within health-systems, including ambulatory and community settings, as well as industry partners and faculty who serve the pharmacy profession, to join the organization and engage in Council activities and initiatives to collaborate across the continuum of care. Further, NYSCHP advocates for, represents, and educates practitioners and partners in those settings.</w:t>
            </w:r>
          </w:p>
          <w:p w14:paraId="5E1822F9" w14:textId="77777777" w:rsidR="006049E2" w:rsidRDefault="006049E2" w:rsidP="006049E2">
            <w:pPr>
              <w:rPr>
                <w:rFonts w:eastAsia="Times New Roman"/>
                <w:sz w:val="20"/>
                <w:szCs w:val="20"/>
              </w:rPr>
            </w:pPr>
          </w:p>
        </w:tc>
      </w:tr>
      <w:tr w:rsidR="006049E2" w:rsidRPr="00EE5561" w14:paraId="1F2183AD" w14:textId="77777777" w:rsidTr="006049E2">
        <w:trPr>
          <w:trHeight w:val="287"/>
        </w:trPr>
        <w:tc>
          <w:tcPr>
            <w:tcW w:w="11250" w:type="dxa"/>
            <w:gridSpan w:val="3"/>
            <w:shd w:val="clear" w:color="auto" w:fill="auto"/>
            <w:noWrap/>
          </w:tcPr>
          <w:p w14:paraId="2098C099" w14:textId="196AE580" w:rsidR="006049E2" w:rsidRPr="006B1214" w:rsidRDefault="006049E2" w:rsidP="006049E2">
            <w:pPr>
              <w:jc w:val="center"/>
              <w:rPr>
                <w:rFonts w:eastAsia="Times New Roman"/>
                <w:sz w:val="20"/>
                <w:szCs w:val="20"/>
              </w:rPr>
            </w:pPr>
            <w:r w:rsidRPr="006B1214">
              <w:rPr>
                <w:bCs/>
                <w:color w:val="000000"/>
                <w:sz w:val="20"/>
                <w:szCs w:val="20"/>
              </w:rPr>
              <w:t>Reviewed by Pharmacy Practice Committee</w:t>
            </w:r>
          </w:p>
        </w:tc>
      </w:tr>
      <w:tr w:rsidR="006049E2" w:rsidRPr="00EE5561" w14:paraId="36AB4532" w14:textId="77777777" w:rsidTr="006049E2">
        <w:trPr>
          <w:trHeight w:val="863"/>
        </w:trPr>
        <w:tc>
          <w:tcPr>
            <w:tcW w:w="1550" w:type="dxa"/>
            <w:shd w:val="clear" w:color="auto" w:fill="auto"/>
            <w:noWrap/>
            <w:hideMark/>
          </w:tcPr>
          <w:p w14:paraId="538039FA" w14:textId="77777777" w:rsidR="006049E2" w:rsidRPr="00EE5561" w:rsidRDefault="006049E2" w:rsidP="006049E2">
            <w:pPr>
              <w:rPr>
                <w:rFonts w:eastAsia="Times New Roman"/>
                <w:sz w:val="20"/>
                <w:szCs w:val="20"/>
              </w:rPr>
            </w:pPr>
            <w:r w:rsidRPr="00EE5561">
              <w:rPr>
                <w:rFonts w:eastAsia="Times New Roman"/>
                <w:sz w:val="20"/>
                <w:szCs w:val="20"/>
              </w:rPr>
              <w:t xml:space="preserve">(01-17) </w:t>
            </w:r>
          </w:p>
        </w:tc>
        <w:tc>
          <w:tcPr>
            <w:tcW w:w="4720" w:type="dxa"/>
            <w:shd w:val="clear" w:color="auto" w:fill="auto"/>
            <w:hideMark/>
          </w:tcPr>
          <w:p w14:paraId="793D153E" w14:textId="77777777" w:rsidR="006049E2" w:rsidRPr="00EE5561" w:rsidRDefault="006049E2" w:rsidP="006049E2">
            <w:pPr>
              <w:rPr>
                <w:rFonts w:eastAsia="Times New Roman"/>
                <w:sz w:val="20"/>
                <w:szCs w:val="20"/>
              </w:rPr>
            </w:pPr>
            <w:r w:rsidRPr="00EE5561">
              <w:rPr>
                <w:rFonts w:eastAsia="Times New Roman"/>
                <w:sz w:val="20"/>
                <w:szCs w:val="20"/>
              </w:rPr>
              <w:t>The New York State Council of Health-system Pharmacists supports the recommendation to request of all EMR systems to provide age specific pediatric laboratory value and monitoring reference ranges.</w:t>
            </w:r>
          </w:p>
        </w:tc>
        <w:tc>
          <w:tcPr>
            <w:tcW w:w="4980" w:type="dxa"/>
            <w:shd w:val="clear" w:color="auto" w:fill="auto"/>
          </w:tcPr>
          <w:p w14:paraId="3764F22C" w14:textId="77777777" w:rsidR="006049E2" w:rsidRPr="00EE5561" w:rsidRDefault="006049E2" w:rsidP="006049E2">
            <w:pPr>
              <w:rPr>
                <w:rFonts w:eastAsia="Times New Roman"/>
                <w:sz w:val="20"/>
                <w:szCs w:val="20"/>
              </w:rPr>
            </w:pPr>
            <w:r>
              <w:rPr>
                <w:rFonts w:eastAsia="Times New Roman"/>
                <w:sz w:val="20"/>
                <w:szCs w:val="20"/>
              </w:rPr>
              <w:t>Renew</w:t>
            </w:r>
          </w:p>
        </w:tc>
      </w:tr>
      <w:tr w:rsidR="006049E2" w:rsidRPr="00EE5561" w14:paraId="6535FDAC" w14:textId="77777777" w:rsidTr="006049E2">
        <w:trPr>
          <w:trHeight w:val="1439"/>
        </w:trPr>
        <w:tc>
          <w:tcPr>
            <w:tcW w:w="1550" w:type="dxa"/>
            <w:shd w:val="clear" w:color="auto" w:fill="auto"/>
            <w:noWrap/>
            <w:hideMark/>
          </w:tcPr>
          <w:p w14:paraId="4F868190" w14:textId="77777777" w:rsidR="006049E2" w:rsidRPr="00EE5561" w:rsidRDefault="006049E2" w:rsidP="006049E2">
            <w:pPr>
              <w:rPr>
                <w:rFonts w:eastAsia="Times New Roman"/>
                <w:sz w:val="20"/>
                <w:szCs w:val="20"/>
              </w:rPr>
            </w:pPr>
            <w:r w:rsidRPr="00EE5561">
              <w:rPr>
                <w:rFonts w:eastAsia="Times New Roman"/>
                <w:sz w:val="20"/>
                <w:szCs w:val="20"/>
              </w:rPr>
              <w:t xml:space="preserve">(04-17) </w:t>
            </w:r>
          </w:p>
        </w:tc>
        <w:tc>
          <w:tcPr>
            <w:tcW w:w="4720" w:type="dxa"/>
            <w:shd w:val="clear" w:color="auto" w:fill="auto"/>
            <w:hideMark/>
          </w:tcPr>
          <w:p w14:paraId="7625417C" w14:textId="6448A4C4" w:rsidR="006049E2" w:rsidRPr="00EE5561" w:rsidRDefault="006049E2" w:rsidP="006049E2">
            <w:pPr>
              <w:rPr>
                <w:rFonts w:eastAsia="Times New Roman"/>
                <w:sz w:val="20"/>
                <w:szCs w:val="20"/>
              </w:rPr>
            </w:pPr>
            <w:r w:rsidRPr="00EE5561">
              <w:rPr>
                <w:rFonts w:eastAsia="Times New Roman"/>
                <w:sz w:val="20"/>
                <w:szCs w:val="20"/>
              </w:rPr>
              <w:t>The New York State Council of Health-system Pharmacists encourages manufacturers to conduct more research on pharmacokinetics and pharmacodynamics in patients receiving continuous renal replacement therapy (CRRT) to ensure appropriate antimicrobial dosing.  The Council also encourages manufacturers to include detailed information on the characteristics of individuals who are on CRRT in drug dosing studies.</w:t>
            </w:r>
          </w:p>
        </w:tc>
        <w:tc>
          <w:tcPr>
            <w:tcW w:w="4980" w:type="dxa"/>
            <w:shd w:val="clear" w:color="auto" w:fill="auto"/>
          </w:tcPr>
          <w:p w14:paraId="4BE5E511" w14:textId="77777777" w:rsidR="006049E2" w:rsidRDefault="006049E2" w:rsidP="006049E2">
            <w:pPr>
              <w:rPr>
                <w:rFonts w:eastAsia="Times New Roman"/>
                <w:sz w:val="20"/>
                <w:szCs w:val="20"/>
              </w:rPr>
            </w:pPr>
            <w:r>
              <w:rPr>
                <w:rFonts w:eastAsia="Times New Roman"/>
                <w:sz w:val="20"/>
                <w:szCs w:val="20"/>
              </w:rPr>
              <w:t>Amended:</w:t>
            </w:r>
          </w:p>
          <w:p w14:paraId="670792DA" w14:textId="77777777" w:rsidR="006049E2" w:rsidRDefault="006049E2" w:rsidP="006049E2">
            <w:pPr>
              <w:rPr>
                <w:rFonts w:eastAsia="Times New Roman"/>
                <w:sz w:val="20"/>
                <w:szCs w:val="20"/>
              </w:rPr>
            </w:pPr>
          </w:p>
          <w:p w14:paraId="0E4E1987" w14:textId="2899B4BA" w:rsidR="006049E2" w:rsidRPr="00EE5561" w:rsidRDefault="006049E2" w:rsidP="006049E2">
            <w:pPr>
              <w:rPr>
                <w:rFonts w:eastAsia="Times New Roman"/>
                <w:sz w:val="20"/>
                <w:szCs w:val="20"/>
              </w:rPr>
            </w:pPr>
            <w:r w:rsidRPr="00EE5561">
              <w:rPr>
                <w:rFonts w:eastAsia="Times New Roman"/>
                <w:sz w:val="20"/>
                <w:szCs w:val="20"/>
              </w:rPr>
              <w:t xml:space="preserve">The New York State Council of Health-system Pharmacists encourages manufacturers to conduct more research on pharmacokinetics and pharmacodynamics in patients receiving continuous renal replacement therapy (CRRT) to ensure appropriate </w:t>
            </w:r>
            <w:r>
              <w:rPr>
                <w:rFonts w:eastAsia="Times New Roman"/>
                <w:sz w:val="20"/>
                <w:szCs w:val="20"/>
              </w:rPr>
              <w:t xml:space="preserve">drug </w:t>
            </w:r>
            <w:r w:rsidRPr="00EE5561">
              <w:rPr>
                <w:rFonts w:eastAsia="Times New Roman"/>
                <w:sz w:val="20"/>
                <w:szCs w:val="20"/>
              </w:rPr>
              <w:t xml:space="preserve">dosing.  </w:t>
            </w:r>
            <w:r>
              <w:rPr>
                <w:rFonts w:eastAsia="Times New Roman"/>
                <w:sz w:val="20"/>
                <w:szCs w:val="20"/>
              </w:rPr>
              <w:t xml:space="preserve"> </w:t>
            </w:r>
          </w:p>
        </w:tc>
      </w:tr>
      <w:tr w:rsidR="006049E2" w:rsidRPr="00EE5561" w14:paraId="5530806E" w14:textId="77777777" w:rsidTr="006049E2">
        <w:trPr>
          <w:trHeight w:val="1188"/>
        </w:trPr>
        <w:tc>
          <w:tcPr>
            <w:tcW w:w="1550" w:type="dxa"/>
            <w:shd w:val="clear" w:color="auto" w:fill="auto"/>
            <w:noWrap/>
            <w:hideMark/>
          </w:tcPr>
          <w:p w14:paraId="4D9D3DD4" w14:textId="77777777" w:rsidR="006049E2" w:rsidRPr="00EE5561" w:rsidRDefault="006049E2" w:rsidP="006049E2">
            <w:pPr>
              <w:rPr>
                <w:rFonts w:eastAsia="Times New Roman"/>
                <w:sz w:val="20"/>
                <w:szCs w:val="20"/>
              </w:rPr>
            </w:pPr>
            <w:r w:rsidRPr="00EE5561">
              <w:rPr>
                <w:rFonts w:eastAsia="Times New Roman"/>
                <w:sz w:val="20"/>
                <w:szCs w:val="20"/>
              </w:rPr>
              <w:t xml:space="preserve">(06-17) </w:t>
            </w:r>
          </w:p>
        </w:tc>
        <w:tc>
          <w:tcPr>
            <w:tcW w:w="4720" w:type="dxa"/>
            <w:shd w:val="clear" w:color="auto" w:fill="auto"/>
            <w:hideMark/>
          </w:tcPr>
          <w:p w14:paraId="2459C562" w14:textId="58B18B99" w:rsidR="006049E2" w:rsidRPr="00EE5561" w:rsidRDefault="006049E2" w:rsidP="006049E2">
            <w:pPr>
              <w:rPr>
                <w:rFonts w:eastAsia="Times New Roman"/>
                <w:sz w:val="20"/>
                <w:szCs w:val="20"/>
              </w:rPr>
            </w:pPr>
            <w:r w:rsidRPr="00EE5561">
              <w:rPr>
                <w:rFonts w:eastAsia="Times New Roman"/>
                <w:sz w:val="20"/>
                <w:szCs w:val="20"/>
              </w:rPr>
              <w:t>The New York State Council of Health-system Pharmacists encourages manufacturers to conduct more research on the pharmacokinetics and clinical efficacy of medications in obese population as defined by BMI.</w:t>
            </w:r>
          </w:p>
        </w:tc>
        <w:tc>
          <w:tcPr>
            <w:tcW w:w="4980" w:type="dxa"/>
            <w:shd w:val="clear" w:color="auto" w:fill="auto"/>
          </w:tcPr>
          <w:p w14:paraId="0CC538C8" w14:textId="77777777" w:rsidR="006049E2" w:rsidRDefault="006049E2" w:rsidP="006049E2">
            <w:pPr>
              <w:rPr>
                <w:rFonts w:eastAsia="Times New Roman"/>
                <w:sz w:val="20"/>
                <w:szCs w:val="20"/>
              </w:rPr>
            </w:pPr>
            <w:r>
              <w:rPr>
                <w:rFonts w:eastAsia="Times New Roman"/>
                <w:sz w:val="20"/>
                <w:szCs w:val="20"/>
              </w:rPr>
              <w:t>Amended:</w:t>
            </w:r>
          </w:p>
          <w:p w14:paraId="36293699" w14:textId="77777777" w:rsidR="006049E2" w:rsidRDefault="006049E2" w:rsidP="006049E2">
            <w:pPr>
              <w:rPr>
                <w:rFonts w:eastAsia="Times New Roman"/>
                <w:sz w:val="20"/>
                <w:szCs w:val="20"/>
              </w:rPr>
            </w:pPr>
          </w:p>
          <w:p w14:paraId="22F61280" w14:textId="543F1842" w:rsidR="006049E2" w:rsidRPr="00EE5561" w:rsidRDefault="006049E2" w:rsidP="006049E2">
            <w:pPr>
              <w:rPr>
                <w:rFonts w:eastAsia="Times New Roman"/>
                <w:sz w:val="20"/>
                <w:szCs w:val="20"/>
              </w:rPr>
            </w:pPr>
            <w:r w:rsidRPr="00EE5561">
              <w:rPr>
                <w:rFonts w:eastAsia="Times New Roman"/>
                <w:sz w:val="20"/>
                <w:szCs w:val="20"/>
              </w:rPr>
              <w:t xml:space="preserve">The New York State Council of Health-system Pharmacists encourages manufacturers to conduct more research on the pharmacokinetics and clinical efficacy of medications in </w:t>
            </w:r>
            <w:r>
              <w:rPr>
                <w:rFonts w:eastAsia="Times New Roman"/>
                <w:sz w:val="20"/>
                <w:szCs w:val="20"/>
              </w:rPr>
              <w:t xml:space="preserve">underweight and overweight </w:t>
            </w:r>
            <w:r w:rsidRPr="00EE5561">
              <w:rPr>
                <w:rFonts w:eastAsia="Times New Roman"/>
                <w:sz w:val="20"/>
                <w:szCs w:val="20"/>
              </w:rPr>
              <w:t>population</w:t>
            </w:r>
            <w:r>
              <w:rPr>
                <w:rFonts w:eastAsia="Times New Roman"/>
                <w:sz w:val="20"/>
                <w:szCs w:val="20"/>
              </w:rPr>
              <w:t>s,</w:t>
            </w:r>
            <w:r w:rsidRPr="00EE5561">
              <w:rPr>
                <w:rFonts w:eastAsia="Times New Roman"/>
                <w:sz w:val="20"/>
                <w:szCs w:val="20"/>
              </w:rPr>
              <w:t xml:space="preserve"> as defined by BMI.</w:t>
            </w:r>
          </w:p>
        </w:tc>
      </w:tr>
      <w:tr w:rsidR="006049E2" w:rsidRPr="00EE5561" w14:paraId="5D74F3E9" w14:textId="77777777" w:rsidTr="006049E2">
        <w:trPr>
          <w:trHeight w:val="2060"/>
        </w:trPr>
        <w:tc>
          <w:tcPr>
            <w:tcW w:w="1550" w:type="dxa"/>
            <w:shd w:val="clear" w:color="auto" w:fill="auto"/>
            <w:noWrap/>
            <w:hideMark/>
          </w:tcPr>
          <w:p w14:paraId="032DD251" w14:textId="77777777" w:rsidR="006049E2" w:rsidRPr="00EE5561" w:rsidRDefault="006049E2" w:rsidP="006049E2">
            <w:pPr>
              <w:rPr>
                <w:rFonts w:eastAsia="Times New Roman"/>
                <w:sz w:val="20"/>
                <w:szCs w:val="20"/>
              </w:rPr>
            </w:pPr>
            <w:r w:rsidRPr="00EE5561">
              <w:rPr>
                <w:rFonts w:eastAsia="Times New Roman"/>
                <w:sz w:val="20"/>
                <w:szCs w:val="20"/>
              </w:rPr>
              <w:t xml:space="preserve">(09-17) </w:t>
            </w:r>
          </w:p>
        </w:tc>
        <w:tc>
          <w:tcPr>
            <w:tcW w:w="4720" w:type="dxa"/>
            <w:shd w:val="clear" w:color="auto" w:fill="auto"/>
            <w:hideMark/>
          </w:tcPr>
          <w:p w14:paraId="0FEA2ED7" w14:textId="32B2035D" w:rsidR="006049E2" w:rsidRPr="00EE5561" w:rsidRDefault="006049E2" w:rsidP="006049E2">
            <w:pPr>
              <w:rPr>
                <w:rFonts w:eastAsia="Times New Roman"/>
                <w:sz w:val="20"/>
                <w:szCs w:val="20"/>
              </w:rPr>
            </w:pPr>
            <w:r w:rsidRPr="00EE5561">
              <w:rPr>
                <w:rFonts w:eastAsia="Times New Roman"/>
                <w:sz w:val="20"/>
                <w:szCs w:val="20"/>
              </w:rPr>
              <w:t>The New York State Council of Health-system Pharmacists supports the inclusion of infectious diseases pharmacists to serve as part of the multidisciplinary decision-making process with outpatient parenteral antimicrobial therapy (OPAT) service from the initiation of long term parenteral antimicrobials upon discharge to the continuity of outpatient care.  New York State Council of Health-system Pharmacists supports the role of infectious diseases pharmacist in OPAT program to improve patient safety, clinical efficacy, optimize resource utilization, and decrease health care expenditures which align with the fundamental goals of antimicrobial stewardship as recommended by the centers for disease control.</w:t>
            </w:r>
          </w:p>
        </w:tc>
        <w:tc>
          <w:tcPr>
            <w:tcW w:w="4980" w:type="dxa"/>
            <w:shd w:val="clear" w:color="auto" w:fill="auto"/>
          </w:tcPr>
          <w:p w14:paraId="2EECA093" w14:textId="77777777" w:rsidR="006049E2" w:rsidRDefault="006049E2" w:rsidP="006049E2">
            <w:pPr>
              <w:rPr>
                <w:rFonts w:eastAsia="Times New Roman"/>
                <w:sz w:val="20"/>
                <w:szCs w:val="20"/>
              </w:rPr>
            </w:pPr>
            <w:r>
              <w:rPr>
                <w:rFonts w:eastAsia="Times New Roman"/>
                <w:sz w:val="20"/>
                <w:szCs w:val="20"/>
              </w:rPr>
              <w:t xml:space="preserve">Amended: </w:t>
            </w:r>
          </w:p>
          <w:p w14:paraId="0A68635C" w14:textId="77777777" w:rsidR="006049E2" w:rsidRDefault="006049E2" w:rsidP="006049E2">
            <w:pPr>
              <w:rPr>
                <w:rFonts w:eastAsia="Times New Roman"/>
                <w:sz w:val="20"/>
                <w:szCs w:val="20"/>
              </w:rPr>
            </w:pPr>
          </w:p>
          <w:p w14:paraId="2613B78A" w14:textId="61B87432" w:rsidR="006049E2" w:rsidRPr="00EE5561" w:rsidRDefault="006049E2" w:rsidP="006049E2">
            <w:pPr>
              <w:rPr>
                <w:rFonts w:eastAsia="Times New Roman"/>
                <w:sz w:val="20"/>
                <w:szCs w:val="20"/>
              </w:rPr>
            </w:pPr>
            <w:r w:rsidRPr="00EE5561">
              <w:rPr>
                <w:rFonts w:eastAsia="Times New Roman"/>
                <w:sz w:val="20"/>
                <w:szCs w:val="20"/>
              </w:rPr>
              <w:t xml:space="preserve">The New York State Council of Health-system Pharmacists supports the inclusion of </w:t>
            </w:r>
            <w:r>
              <w:rPr>
                <w:rFonts w:eastAsia="Times New Roman"/>
                <w:sz w:val="20"/>
                <w:szCs w:val="20"/>
              </w:rPr>
              <w:t xml:space="preserve">Antimicrobial Stewardship </w:t>
            </w:r>
            <w:r w:rsidRPr="00EE5561">
              <w:rPr>
                <w:rFonts w:eastAsia="Times New Roman"/>
                <w:sz w:val="20"/>
                <w:szCs w:val="20"/>
              </w:rPr>
              <w:t xml:space="preserve">pharmacists </w:t>
            </w:r>
            <w:r>
              <w:rPr>
                <w:rFonts w:eastAsia="Times New Roman"/>
                <w:sz w:val="20"/>
                <w:szCs w:val="20"/>
              </w:rPr>
              <w:t>as</w:t>
            </w:r>
            <w:r w:rsidRPr="00EE5561">
              <w:rPr>
                <w:rFonts w:eastAsia="Times New Roman"/>
                <w:sz w:val="20"/>
                <w:szCs w:val="20"/>
              </w:rPr>
              <w:t xml:space="preserve"> part of the multidisciplinary decision-making process with</w:t>
            </w:r>
            <w:r>
              <w:rPr>
                <w:rFonts w:eastAsia="Times New Roman"/>
                <w:sz w:val="20"/>
                <w:szCs w:val="20"/>
              </w:rPr>
              <w:t>in</w:t>
            </w:r>
            <w:r w:rsidRPr="00EE5561">
              <w:rPr>
                <w:rFonts w:eastAsia="Times New Roman"/>
                <w:sz w:val="20"/>
                <w:szCs w:val="20"/>
              </w:rPr>
              <w:t xml:space="preserve"> </w:t>
            </w:r>
            <w:r>
              <w:rPr>
                <w:rFonts w:eastAsia="Times New Roman"/>
                <w:sz w:val="20"/>
                <w:szCs w:val="20"/>
              </w:rPr>
              <w:t xml:space="preserve">the </w:t>
            </w:r>
            <w:r w:rsidRPr="00EE5561">
              <w:rPr>
                <w:rFonts w:eastAsia="Times New Roman"/>
                <w:sz w:val="20"/>
                <w:szCs w:val="20"/>
              </w:rPr>
              <w:t>outpatient parenteral antimicrobial therapy (OPAT) service</w:t>
            </w:r>
            <w:r>
              <w:rPr>
                <w:rFonts w:eastAsia="Times New Roman"/>
                <w:sz w:val="20"/>
                <w:szCs w:val="20"/>
              </w:rPr>
              <w:t>.</w:t>
            </w:r>
            <w:r w:rsidRPr="00EE5561">
              <w:rPr>
                <w:rFonts w:eastAsia="Times New Roman"/>
                <w:sz w:val="20"/>
                <w:szCs w:val="20"/>
              </w:rPr>
              <w:t xml:space="preserve"> </w:t>
            </w:r>
            <w:r>
              <w:rPr>
                <w:rFonts w:eastAsia="Times New Roman"/>
                <w:sz w:val="20"/>
                <w:szCs w:val="20"/>
              </w:rPr>
              <w:t xml:space="preserve"> </w:t>
            </w:r>
            <w:r w:rsidRPr="00EE5561">
              <w:rPr>
                <w:rFonts w:eastAsia="Times New Roman"/>
                <w:sz w:val="20"/>
                <w:szCs w:val="20"/>
              </w:rPr>
              <w:t xml:space="preserve">  </w:t>
            </w:r>
            <w:r>
              <w:rPr>
                <w:rFonts w:eastAsia="Times New Roman"/>
                <w:sz w:val="20"/>
                <w:szCs w:val="20"/>
              </w:rPr>
              <w:t xml:space="preserve"> </w:t>
            </w:r>
          </w:p>
        </w:tc>
      </w:tr>
      <w:tr w:rsidR="006049E2" w:rsidRPr="00EE5561" w14:paraId="36D20955" w14:textId="77777777" w:rsidTr="006049E2">
        <w:trPr>
          <w:trHeight w:val="1188"/>
        </w:trPr>
        <w:tc>
          <w:tcPr>
            <w:tcW w:w="1550" w:type="dxa"/>
            <w:shd w:val="clear" w:color="auto" w:fill="auto"/>
            <w:noWrap/>
            <w:hideMark/>
          </w:tcPr>
          <w:p w14:paraId="1963935B" w14:textId="77777777" w:rsidR="006049E2" w:rsidRPr="00EE5561" w:rsidRDefault="006049E2" w:rsidP="006049E2">
            <w:pPr>
              <w:rPr>
                <w:rFonts w:eastAsia="Times New Roman"/>
                <w:sz w:val="20"/>
                <w:szCs w:val="20"/>
              </w:rPr>
            </w:pPr>
            <w:r w:rsidRPr="00EE5561">
              <w:rPr>
                <w:rFonts w:eastAsia="Times New Roman"/>
                <w:sz w:val="20"/>
                <w:szCs w:val="20"/>
              </w:rPr>
              <w:t xml:space="preserve">(10-17) </w:t>
            </w:r>
          </w:p>
        </w:tc>
        <w:tc>
          <w:tcPr>
            <w:tcW w:w="4720" w:type="dxa"/>
            <w:shd w:val="clear" w:color="auto" w:fill="auto"/>
            <w:hideMark/>
          </w:tcPr>
          <w:p w14:paraId="1C18D9B6" w14:textId="5AF953F4" w:rsidR="006049E2" w:rsidRPr="00EE5561" w:rsidRDefault="006049E2" w:rsidP="006049E2">
            <w:pPr>
              <w:rPr>
                <w:rFonts w:eastAsia="Times New Roman"/>
                <w:sz w:val="20"/>
                <w:szCs w:val="20"/>
              </w:rPr>
            </w:pPr>
            <w:r w:rsidRPr="00EE5561">
              <w:rPr>
                <w:rFonts w:eastAsia="Times New Roman"/>
                <w:sz w:val="20"/>
                <w:szCs w:val="20"/>
              </w:rPr>
              <w:t>The New York State Council of Health-system Pharmacists supports the development of a suggested structured pharmacy intern role within the healthcare system setting to optimize their concurrent training and unique skillset within the pharmacy team.</w:t>
            </w:r>
          </w:p>
        </w:tc>
        <w:tc>
          <w:tcPr>
            <w:tcW w:w="4980" w:type="dxa"/>
            <w:shd w:val="clear" w:color="auto" w:fill="auto"/>
          </w:tcPr>
          <w:p w14:paraId="0F1BC0C9" w14:textId="77777777" w:rsidR="006049E2" w:rsidRDefault="006049E2" w:rsidP="006049E2">
            <w:pPr>
              <w:rPr>
                <w:rFonts w:eastAsia="Times New Roman"/>
                <w:sz w:val="20"/>
                <w:szCs w:val="20"/>
              </w:rPr>
            </w:pPr>
            <w:r>
              <w:rPr>
                <w:rFonts w:eastAsia="Times New Roman"/>
                <w:sz w:val="20"/>
                <w:szCs w:val="20"/>
              </w:rPr>
              <w:t>Amended:</w:t>
            </w:r>
          </w:p>
          <w:p w14:paraId="6EE25E1E" w14:textId="77777777" w:rsidR="006049E2" w:rsidRDefault="006049E2" w:rsidP="006049E2">
            <w:pPr>
              <w:rPr>
                <w:rFonts w:eastAsia="Times New Roman"/>
                <w:sz w:val="20"/>
                <w:szCs w:val="20"/>
              </w:rPr>
            </w:pPr>
          </w:p>
          <w:p w14:paraId="0064D1D2" w14:textId="3DD33E65" w:rsidR="006049E2" w:rsidRPr="00EE5561" w:rsidRDefault="006049E2" w:rsidP="006049E2">
            <w:pPr>
              <w:rPr>
                <w:rFonts w:eastAsia="Times New Roman"/>
                <w:sz w:val="20"/>
                <w:szCs w:val="20"/>
              </w:rPr>
            </w:pPr>
            <w:r w:rsidRPr="00EE5561">
              <w:rPr>
                <w:rFonts w:eastAsia="Times New Roman"/>
                <w:sz w:val="20"/>
                <w:szCs w:val="20"/>
              </w:rPr>
              <w:t xml:space="preserve">The New York State Council of Health-system Pharmacists supports the </w:t>
            </w:r>
            <w:r>
              <w:rPr>
                <w:rFonts w:eastAsia="Times New Roman"/>
                <w:sz w:val="20"/>
                <w:szCs w:val="20"/>
              </w:rPr>
              <w:t xml:space="preserve">structured, well-defined, documented, active </w:t>
            </w:r>
            <w:r w:rsidRPr="00EE5561">
              <w:rPr>
                <w:rFonts w:eastAsia="Times New Roman"/>
                <w:sz w:val="20"/>
                <w:szCs w:val="20"/>
              </w:rPr>
              <w:t xml:space="preserve">pharmacy intern role within the healthcare system setting to optimize their concurrent training and unique skillset within the pharmacy </w:t>
            </w:r>
            <w:r>
              <w:rPr>
                <w:rFonts w:eastAsia="Times New Roman"/>
                <w:sz w:val="20"/>
                <w:szCs w:val="20"/>
              </w:rPr>
              <w:t>interdisciplinary</w:t>
            </w:r>
            <w:r w:rsidRPr="00EE5561">
              <w:rPr>
                <w:rFonts w:eastAsia="Times New Roman"/>
                <w:sz w:val="20"/>
                <w:szCs w:val="20"/>
              </w:rPr>
              <w:t xml:space="preserve"> team.</w:t>
            </w:r>
          </w:p>
        </w:tc>
      </w:tr>
      <w:tr w:rsidR="006049E2" w:rsidRPr="00EE5561" w14:paraId="383722BD" w14:textId="77777777" w:rsidTr="006049E2">
        <w:trPr>
          <w:trHeight w:val="1673"/>
        </w:trPr>
        <w:tc>
          <w:tcPr>
            <w:tcW w:w="1550" w:type="dxa"/>
            <w:shd w:val="clear" w:color="auto" w:fill="auto"/>
            <w:noWrap/>
            <w:hideMark/>
          </w:tcPr>
          <w:p w14:paraId="0EA58BAD" w14:textId="77777777" w:rsidR="006049E2" w:rsidRPr="00EE5561" w:rsidRDefault="006049E2" w:rsidP="006049E2">
            <w:pPr>
              <w:rPr>
                <w:rFonts w:eastAsia="Times New Roman"/>
                <w:sz w:val="20"/>
                <w:szCs w:val="20"/>
              </w:rPr>
            </w:pPr>
            <w:r w:rsidRPr="00EE5561">
              <w:rPr>
                <w:rFonts w:eastAsia="Times New Roman"/>
                <w:sz w:val="20"/>
                <w:szCs w:val="20"/>
              </w:rPr>
              <w:lastRenderedPageBreak/>
              <w:t xml:space="preserve">(11-17) </w:t>
            </w:r>
          </w:p>
        </w:tc>
        <w:tc>
          <w:tcPr>
            <w:tcW w:w="4720" w:type="dxa"/>
            <w:shd w:val="clear" w:color="auto" w:fill="auto"/>
            <w:hideMark/>
          </w:tcPr>
          <w:p w14:paraId="7FEC34D3" w14:textId="4973B72F" w:rsidR="006049E2" w:rsidRPr="00EE5561" w:rsidRDefault="006049E2" w:rsidP="006049E2">
            <w:pPr>
              <w:rPr>
                <w:rFonts w:eastAsia="Times New Roman"/>
                <w:sz w:val="20"/>
                <w:szCs w:val="20"/>
              </w:rPr>
            </w:pPr>
            <w:r w:rsidRPr="00EE5561">
              <w:rPr>
                <w:rFonts w:eastAsia="Times New Roman"/>
                <w:sz w:val="20"/>
                <w:szCs w:val="20"/>
              </w:rPr>
              <w:t>The New York State Council of Health-system Pharmacists supports ASHP efforts in the development of standardized adult medication concentrations and to minimize the number of available concentrations in order to reduce medication errors.  Furthermore, The New York State Council of Health-system Pharmacists supports manufacturer production of standardized concentrations as listed in the aforementioned ASHP reference.</w:t>
            </w:r>
          </w:p>
        </w:tc>
        <w:tc>
          <w:tcPr>
            <w:tcW w:w="4980" w:type="dxa"/>
            <w:shd w:val="clear" w:color="auto" w:fill="auto"/>
          </w:tcPr>
          <w:p w14:paraId="29801F7F" w14:textId="77777777" w:rsidR="006049E2" w:rsidRDefault="006049E2" w:rsidP="006049E2">
            <w:pPr>
              <w:rPr>
                <w:rFonts w:eastAsia="Times New Roman"/>
                <w:sz w:val="20"/>
                <w:szCs w:val="20"/>
              </w:rPr>
            </w:pPr>
            <w:r>
              <w:rPr>
                <w:rFonts w:eastAsia="Times New Roman"/>
                <w:sz w:val="20"/>
                <w:szCs w:val="20"/>
              </w:rPr>
              <w:t>Amended:</w:t>
            </w:r>
          </w:p>
          <w:p w14:paraId="79F6D28C" w14:textId="77777777" w:rsidR="006049E2" w:rsidRDefault="006049E2" w:rsidP="006049E2">
            <w:pPr>
              <w:rPr>
                <w:rFonts w:eastAsia="Times New Roman"/>
                <w:sz w:val="20"/>
                <w:szCs w:val="20"/>
              </w:rPr>
            </w:pPr>
          </w:p>
          <w:p w14:paraId="23B37FB6" w14:textId="08AA6083" w:rsidR="006049E2" w:rsidRPr="00EE5561" w:rsidRDefault="006049E2" w:rsidP="006049E2">
            <w:pPr>
              <w:rPr>
                <w:rFonts w:eastAsia="Times New Roman"/>
                <w:sz w:val="20"/>
                <w:szCs w:val="20"/>
              </w:rPr>
            </w:pPr>
            <w:r w:rsidRPr="00EE5561">
              <w:rPr>
                <w:rFonts w:eastAsia="Times New Roman"/>
                <w:sz w:val="20"/>
                <w:szCs w:val="20"/>
              </w:rPr>
              <w:t xml:space="preserve">The New York State Council of Health-system Pharmacists supports ASHP efforts </w:t>
            </w:r>
            <w:r>
              <w:rPr>
                <w:rFonts w:eastAsia="Times New Roman"/>
                <w:sz w:val="20"/>
                <w:szCs w:val="20"/>
              </w:rPr>
              <w:t xml:space="preserve">in </w:t>
            </w:r>
            <w:r w:rsidRPr="00EE5561">
              <w:rPr>
                <w:rFonts w:eastAsia="Times New Roman"/>
                <w:sz w:val="20"/>
                <w:szCs w:val="20"/>
              </w:rPr>
              <w:t>standardizing</w:t>
            </w:r>
            <w:r>
              <w:rPr>
                <w:rFonts w:eastAsia="Times New Roman"/>
                <w:sz w:val="20"/>
                <w:szCs w:val="20"/>
              </w:rPr>
              <w:t xml:space="preserve"> </w:t>
            </w:r>
            <w:r w:rsidRPr="00EE5561">
              <w:rPr>
                <w:rFonts w:eastAsia="Times New Roman"/>
                <w:sz w:val="20"/>
                <w:szCs w:val="20"/>
              </w:rPr>
              <w:t>adult medication concentrations to</w:t>
            </w:r>
            <w:r>
              <w:rPr>
                <w:rFonts w:eastAsia="Times New Roman"/>
                <w:sz w:val="20"/>
                <w:szCs w:val="20"/>
              </w:rPr>
              <w:t xml:space="preserve"> reduce</w:t>
            </w:r>
            <w:r w:rsidRPr="00EE5561">
              <w:rPr>
                <w:rFonts w:eastAsia="Times New Roman"/>
                <w:sz w:val="20"/>
                <w:szCs w:val="20"/>
              </w:rPr>
              <w:t xml:space="preserve"> the number </w:t>
            </w:r>
            <w:r>
              <w:rPr>
                <w:rFonts w:eastAsia="Times New Roman"/>
                <w:sz w:val="20"/>
                <w:szCs w:val="20"/>
              </w:rPr>
              <w:t>of</w:t>
            </w:r>
            <w:r w:rsidRPr="00EE5561">
              <w:rPr>
                <w:rFonts w:eastAsia="Times New Roman"/>
                <w:sz w:val="20"/>
                <w:szCs w:val="20"/>
              </w:rPr>
              <w:t xml:space="preserve"> medication errors.  Furthermore, The New York State Council of Health-system Pharmacists supports manufacturer production of standardized</w:t>
            </w:r>
            <w:r>
              <w:rPr>
                <w:rFonts w:eastAsia="Times New Roman"/>
                <w:sz w:val="20"/>
                <w:szCs w:val="20"/>
              </w:rPr>
              <w:t xml:space="preserve"> medication</w:t>
            </w:r>
            <w:r w:rsidRPr="00EE5561">
              <w:rPr>
                <w:rFonts w:eastAsia="Times New Roman"/>
                <w:sz w:val="20"/>
                <w:szCs w:val="20"/>
              </w:rPr>
              <w:t xml:space="preserve"> concentrations</w:t>
            </w:r>
            <w:r>
              <w:rPr>
                <w:rFonts w:eastAsia="Times New Roman"/>
                <w:sz w:val="20"/>
                <w:szCs w:val="20"/>
              </w:rPr>
              <w:t>.</w:t>
            </w:r>
            <w:r w:rsidRPr="00EE5561">
              <w:rPr>
                <w:rFonts w:eastAsia="Times New Roman"/>
                <w:sz w:val="20"/>
                <w:szCs w:val="20"/>
              </w:rPr>
              <w:t xml:space="preserve"> </w:t>
            </w:r>
            <w:r>
              <w:rPr>
                <w:rFonts w:eastAsia="Times New Roman"/>
                <w:sz w:val="20"/>
                <w:szCs w:val="20"/>
              </w:rPr>
              <w:t xml:space="preserve"> </w:t>
            </w:r>
          </w:p>
        </w:tc>
      </w:tr>
      <w:tr w:rsidR="006049E2" w:rsidRPr="00EE5561" w14:paraId="19727C0E" w14:textId="77777777" w:rsidTr="006049E2">
        <w:trPr>
          <w:trHeight w:val="1584"/>
        </w:trPr>
        <w:tc>
          <w:tcPr>
            <w:tcW w:w="1550" w:type="dxa"/>
            <w:shd w:val="clear" w:color="auto" w:fill="auto"/>
            <w:noWrap/>
            <w:hideMark/>
          </w:tcPr>
          <w:p w14:paraId="492C2340" w14:textId="77777777" w:rsidR="006049E2" w:rsidRPr="00EE5561" w:rsidRDefault="006049E2" w:rsidP="006049E2">
            <w:pPr>
              <w:rPr>
                <w:rFonts w:eastAsia="Times New Roman"/>
                <w:sz w:val="20"/>
                <w:szCs w:val="20"/>
              </w:rPr>
            </w:pPr>
            <w:r w:rsidRPr="00EE5561">
              <w:rPr>
                <w:rFonts w:eastAsia="Times New Roman"/>
                <w:sz w:val="20"/>
                <w:szCs w:val="20"/>
              </w:rPr>
              <w:t xml:space="preserve">(12-17) </w:t>
            </w:r>
          </w:p>
        </w:tc>
        <w:tc>
          <w:tcPr>
            <w:tcW w:w="4720" w:type="dxa"/>
            <w:shd w:val="clear" w:color="auto" w:fill="auto"/>
            <w:hideMark/>
          </w:tcPr>
          <w:p w14:paraId="3D513B32" w14:textId="77777777" w:rsidR="006049E2" w:rsidRPr="00EE5561" w:rsidRDefault="006049E2" w:rsidP="006049E2">
            <w:pPr>
              <w:rPr>
                <w:rFonts w:eastAsia="Times New Roman"/>
                <w:sz w:val="20"/>
                <w:szCs w:val="20"/>
              </w:rPr>
            </w:pPr>
            <w:r w:rsidRPr="00EE5561">
              <w:rPr>
                <w:rFonts w:eastAsia="Times New Roman"/>
                <w:sz w:val="20"/>
                <w:szCs w:val="20"/>
              </w:rPr>
              <w:t>The New York State Council of Health-system Pharmacists supports the continued ability of covered entities to participate in the 340b program to allow covered entities “to stretch scarce federal resources as far as possible, reaching more eligible patients and providing more comprehensive services,” as indicated in the federal register 82.3 (2017).</w:t>
            </w:r>
          </w:p>
        </w:tc>
        <w:tc>
          <w:tcPr>
            <w:tcW w:w="4980" w:type="dxa"/>
            <w:shd w:val="clear" w:color="auto" w:fill="auto"/>
          </w:tcPr>
          <w:p w14:paraId="7058CB0C" w14:textId="77777777" w:rsidR="006049E2" w:rsidRPr="00EE5561" w:rsidRDefault="006049E2" w:rsidP="006049E2">
            <w:pPr>
              <w:rPr>
                <w:rFonts w:eastAsia="Times New Roman"/>
                <w:sz w:val="20"/>
                <w:szCs w:val="20"/>
              </w:rPr>
            </w:pPr>
            <w:r>
              <w:rPr>
                <w:rFonts w:eastAsia="Times New Roman"/>
                <w:sz w:val="20"/>
                <w:szCs w:val="20"/>
              </w:rPr>
              <w:t>Renew</w:t>
            </w:r>
          </w:p>
        </w:tc>
      </w:tr>
      <w:tr w:rsidR="006049E2" w:rsidRPr="00EE5561" w14:paraId="6C14CFAE" w14:textId="77777777" w:rsidTr="006049E2">
        <w:trPr>
          <w:trHeight w:val="2960"/>
        </w:trPr>
        <w:tc>
          <w:tcPr>
            <w:tcW w:w="1550" w:type="dxa"/>
            <w:shd w:val="clear" w:color="auto" w:fill="auto"/>
            <w:noWrap/>
            <w:hideMark/>
          </w:tcPr>
          <w:p w14:paraId="274DD192" w14:textId="77777777" w:rsidR="006049E2" w:rsidRPr="00EE5561" w:rsidRDefault="006049E2" w:rsidP="006049E2">
            <w:pPr>
              <w:rPr>
                <w:rFonts w:eastAsia="Times New Roman"/>
                <w:sz w:val="20"/>
                <w:szCs w:val="20"/>
              </w:rPr>
            </w:pPr>
            <w:r w:rsidRPr="00EE5561">
              <w:rPr>
                <w:rFonts w:eastAsia="Times New Roman"/>
                <w:sz w:val="20"/>
                <w:szCs w:val="20"/>
              </w:rPr>
              <w:t xml:space="preserve">(14-17) </w:t>
            </w:r>
          </w:p>
        </w:tc>
        <w:tc>
          <w:tcPr>
            <w:tcW w:w="4720" w:type="dxa"/>
            <w:shd w:val="clear" w:color="auto" w:fill="auto"/>
            <w:hideMark/>
          </w:tcPr>
          <w:p w14:paraId="6F6D9B70" w14:textId="77777777" w:rsidR="006049E2" w:rsidRPr="00EE5561" w:rsidRDefault="006049E2" w:rsidP="006049E2">
            <w:pPr>
              <w:rPr>
                <w:rFonts w:eastAsia="Times New Roman"/>
                <w:sz w:val="20"/>
                <w:szCs w:val="20"/>
              </w:rPr>
            </w:pPr>
            <w:r w:rsidRPr="00EE5561">
              <w:rPr>
                <w:rFonts w:eastAsia="Times New Roman"/>
                <w:sz w:val="20"/>
                <w:szCs w:val="20"/>
              </w:rPr>
              <w:t>NYSCHP advocates for key decision making roles for pharmacists in the planning, selection, design, and implementation, and maintenance of medication-use information systems, electronic health records, computerized provider order entry systems, automated dispensing technologies and e-prescribing systems to facilitate clinical decision support, data analysis, and education of users for the purpose of ensuring the safe and effective use of medications; further, NYSCHP advocates that pharmacists must have accountability for strategic planning and direct operational aspects of the medication-use process, including the successful deployment of medication-use information systems; further, NYSCHP supports that pharmacists engaged in the design, implementation and maintenance of these systems have academic and/or experiential credentials (for example IT Certificate program, informatics residency, and EMR training certification) to help ensure process efficiencies while minimizing patient safety risk in the medication use process.</w:t>
            </w:r>
          </w:p>
        </w:tc>
        <w:tc>
          <w:tcPr>
            <w:tcW w:w="4980" w:type="dxa"/>
            <w:shd w:val="clear" w:color="auto" w:fill="auto"/>
          </w:tcPr>
          <w:p w14:paraId="0AF9A2D0" w14:textId="77777777" w:rsidR="006049E2" w:rsidRDefault="006049E2" w:rsidP="006049E2">
            <w:pPr>
              <w:rPr>
                <w:rFonts w:eastAsia="Times New Roman"/>
                <w:sz w:val="20"/>
                <w:szCs w:val="20"/>
              </w:rPr>
            </w:pPr>
            <w:r>
              <w:rPr>
                <w:rFonts w:eastAsia="Times New Roman"/>
                <w:sz w:val="20"/>
                <w:szCs w:val="20"/>
              </w:rPr>
              <w:t xml:space="preserve">Amended: </w:t>
            </w:r>
          </w:p>
          <w:p w14:paraId="45E65AF8" w14:textId="77777777" w:rsidR="006049E2" w:rsidRDefault="006049E2" w:rsidP="006049E2">
            <w:pPr>
              <w:rPr>
                <w:rFonts w:eastAsia="Times New Roman"/>
                <w:sz w:val="20"/>
                <w:szCs w:val="20"/>
              </w:rPr>
            </w:pPr>
          </w:p>
          <w:p w14:paraId="5AF109E0" w14:textId="313CC615" w:rsidR="006049E2" w:rsidRPr="00EE5561" w:rsidRDefault="006049E2" w:rsidP="006049E2">
            <w:pPr>
              <w:rPr>
                <w:rFonts w:eastAsia="Times New Roman"/>
                <w:sz w:val="20"/>
                <w:szCs w:val="20"/>
              </w:rPr>
            </w:pPr>
            <w:r w:rsidRPr="00EE5561">
              <w:rPr>
                <w:rFonts w:eastAsia="Times New Roman"/>
                <w:sz w:val="20"/>
                <w:szCs w:val="20"/>
              </w:rPr>
              <w:t>NYSCHP advocates for key decision making roles</w:t>
            </w:r>
            <w:r>
              <w:rPr>
                <w:rFonts w:eastAsia="Times New Roman"/>
                <w:sz w:val="20"/>
                <w:szCs w:val="20"/>
              </w:rPr>
              <w:t>, accountability, and academic and/or experiential credentials</w:t>
            </w:r>
            <w:r w:rsidRPr="00EE5561">
              <w:rPr>
                <w:rFonts w:eastAsia="Times New Roman"/>
                <w:sz w:val="20"/>
                <w:szCs w:val="20"/>
              </w:rPr>
              <w:t xml:space="preserve"> for pharmacists in the planning, selection, design, and implementation, and maintenance of medication-use information systems, electronic health records, computerized provider order entry systems, automated dispensing technologies and e-prescribing systems to facilitate clinical decision support, data analysis, and education of users for the purpose of ensuring the safe and effective use of medications</w:t>
            </w:r>
            <w:r>
              <w:rPr>
                <w:rFonts w:eastAsia="Times New Roman"/>
                <w:sz w:val="20"/>
                <w:szCs w:val="20"/>
              </w:rPr>
              <w:t>.</w:t>
            </w:r>
          </w:p>
        </w:tc>
      </w:tr>
      <w:tr w:rsidR="006049E2" w:rsidRPr="00EE5561" w14:paraId="16F52ACC" w14:textId="77777777" w:rsidTr="006049E2">
        <w:trPr>
          <w:trHeight w:val="971"/>
        </w:trPr>
        <w:tc>
          <w:tcPr>
            <w:tcW w:w="1550" w:type="dxa"/>
            <w:shd w:val="clear" w:color="auto" w:fill="auto"/>
            <w:noWrap/>
            <w:hideMark/>
          </w:tcPr>
          <w:p w14:paraId="6FBA3D49" w14:textId="77777777" w:rsidR="006049E2" w:rsidRPr="00EE5561" w:rsidRDefault="006049E2" w:rsidP="006049E2">
            <w:pPr>
              <w:rPr>
                <w:rFonts w:eastAsia="Times New Roman"/>
                <w:sz w:val="20"/>
                <w:szCs w:val="20"/>
              </w:rPr>
            </w:pPr>
            <w:r w:rsidRPr="00EE5561">
              <w:rPr>
                <w:rFonts w:eastAsia="Times New Roman"/>
                <w:sz w:val="20"/>
                <w:szCs w:val="20"/>
              </w:rPr>
              <w:t>(1-12)</w:t>
            </w:r>
          </w:p>
        </w:tc>
        <w:tc>
          <w:tcPr>
            <w:tcW w:w="4720" w:type="dxa"/>
            <w:shd w:val="clear" w:color="auto" w:fill="auto"/>
            <w:hideMark/>
          </w:tcPr>
          <w:p w14:paraId="56CDF9A7" w14:textId="77777777" w:rsidR="006049E2" w:rsidRPr="00EE5561" w:rsidRDefault="006049E2" w:rsidP="006049E2">
            <w:pPr>
              <w:rPr>
                <w:rFonts w:eastAsia="Times New Roman"/>
                <w:sz w:val="20"/>
                <w:szCs w:val="20"/>
              </w:rPr>
            </w:pPr>
            <w:r w:rsidRPr="00EE5561">
              <w:rPr>
                <w:rFonts w:eastAsia="Times New Roman"/>
                <w:sz w:val="20"/>
                <w:szCs w:val="20"/>
              </w:rPr>
              <w:t>The New York State Council of Health-System Pharmacists supports the requirement to include the indication, whether it be an FDA</w:t>
            </w:r>
            <w:r>
              <w:rPr>
                <w:rFonts w:eastAsia="Times New Roman"/>
                <w:sz w:val="20"/>
                <w:szCs w:val="20"/>
              </w:rPr>
              <w:t xml:space="preserve"> </w:t>
            </w:r>
            <w:r w:rsidRPr="00EE5561">
              <w:rPr>
                <w:rFonts w:eastAsia="Times New Roman"/>
                <w:sz w:val="20"/>
                <w:szCs w:val="20"/>
              </w:rPr>
              <w:t>approved or off label use, on all inpatient medication orders and outpatient prescriptions.</w:t>
            </w:r>
          </w:p>
        </w:tc>
        <w:tc>
          <w:tcPr>
            <w:tcW w:w="4980" w:type="dxa"/>
            <w:shd w:val="clear" w:color="auto" w:fill="auto"/>
          </w:tcPr>
          <w:p w14:paraId="36EF574E" w14:textId="77777777" w:rsidR="006049E2" w:rsidRPr="00EE5561" w:rsidRDefault="006049E2" w:rsidP="006049E2">
            <w:pPr>
              <w:rPr>
                <w:rFonts w:eastAsia="Times New Roman"/>
                <w:sz w:val="20"/>
                <w:szCs w:val="20"/>
              </w:rPr>
            </w:pPr>
            <w:r>
              <w:rPr>
                <w:rFonts w:eastAsia="Times New Roman"/>
                <w:sz w:val="20"/>
                <w:szCs w:val="20"/>
              </w:rPr>
              <w:t>Renew</w:t>
            </w:r>
          </w:p>
        </w:tc>
      </w:tr>
      <w:tr w:rsidR="006049E2" w:rsidRPr="00EE5561" w14:paraId="536D8539" w14:textId="77777777" w:rsidTr="006049E2">
        <w:trPr>
          <w:trHeight w:val="1188"/>
        </w:trPr>
        <w:tc>
          <w:tcPr>
            <w:tcW w:w="1550" w:type="dxa"/>
            <w:shd w:val="clear" w:color="auto" w:fill="auto"/>
            <w:noWrap/>
            <w:hideMark/>
          </w:tcPr>
          <w:p w14:paraId="44F4FC01" w14:textId="77777777" w:rsidR="006049E2" w:rsidRPr="00EE5561" w:rsidRDefault="006049E2" w:rsidP="006049E2">
            <w:pPr>
              <w:rPr>
                <w:rFonts w:eastAsia="Times New Roman"/>
                <w:sz w:val="20"/>
                <w:szCs w:val="20"/>
              </w:rPr>
            </w:pPr>
            <w:r w:rsidRPr="00EE5561">
              <w:rPr>
                <w:rFonts w:eastAsia="Times New Roman"/>
                <w:sz w:val="20"/>
                <w:szCs w:val="20"/>
              </w:rPr>
              <w:t>(3-12)</w:t>
            </w:r>
          </w:p>
        </w:tc>
        <w:tc>
          <w:tcPr>
            <w:tcW w:w="4720" w:type="dxa"/>
            <w:shd w:val="clear" w:color="auto" w:fill="auto"/>
            <w:hideMark/>
          </w:tcPr>
          <w:p w14:paraId="05749CB1" w14:textId="77777777" w:rsidR="006049E2" w:rsidRPr="00EE5561" w:rsidRDefault="006049E2" w:rsidP="006049E2">
            <w:pPr>
              <w:rPr>
                <w:rFonts w:eastAsia="Times New Roman"/>
                <w:sz w:val="20"/>
                <w:szCs w:val="20"/>
              </w:rPr>
            </w:pPr>
            <w:r w:rsidRPr="00EE5561">
              <w:rPr>
                <w:rFonts w:eastAsia="Times New Roman"/>
                <w:sz w:val="20"/>
                <w:szCs w:val="20"/>
              </w:rPr>
              <w:t>The New York State Council of Health-System Pharmacists (NYSCHP) supports increasing the number of PGY-1 and PGY-2 residency positions within NY State, by ways of supporting educational efforts offered through ASHP and legislative activities at the State and Federal level to support funding.</w:t>
            </w:r>
          </w:p>
        </w:tc>
        <w:tc>
          <w:tcPr>
            <w:tcW w:w="4980" w:type="dxa"/>
            <w:shd w:val="clear" w:color="auto" w:fill="auto"/>
          </w:tcPr>
          <w:p w14:paraId="65ABDC1C" w14:textId="77777777" w:rsidR="006049E2" w:rsidRDefault="006049E2" w:rsidP="006049E2">
            <w:pPr>
              <w:rPr>
                <w:rFonts w:eastAsia="Times New Roman"/>
                <w:sz w:val="20"/>
                <w:szCs w:val="20"/>
              </w:rPr>
            </w:pPr>
            <w:r>
              <w:rPr>
                <w:rFonts w:eastAsia="Times New Roman"/>
                <w:sz w:val="20"/>
                <w:szCs w:val="20"/>
              </w:rPr>
              <w:t>Renew</w:t>
            </w:r>
          </w:p>
          <w:p w14:paraId="0D2805A7" w14:textId="77777777" w:rsidR="006049E2" w:rsidRPr="00EE5561" w:rsidRDefault="006049E2" w:rsidP="006049E2">
            <w:pPr>
              <w:rPr>
                <w:rFonts w:eastAsia="Times New Roman"/>
                <w:sz w:val="20"/>
                <w:szCs w:val="20"/>
              </w:rPr>
            </w:pPr>
            <w:r>
              <w:rPr>
                <w:rFonts w:eastAsia="Times New Roman"/>
                <w:sz w:val="20"/>
                <w:szCs w:val="20"/>
              </w:rPr>
              <w:t xml:space="preserve">Committee supports new position statement encouraging non-traditional post-graduate programs. </w:t>
            </w:r>
          </w:p>
        </w:tc>
      </w:tr>
      <w:tr w:rsidR="006049E2" w:rsidRPr="00EE5561" w14:paraId="2C8C4CA7" w14:textId="77777777" w:rsidTr="006049E2">
        <w:trPr>
          <w:trHeight w:val="1142"/>
        </w:trPr>
        <w:tc>
          <w:tcPr>
            <w:tcW w:w="1550" w:type="dxa"/>
            <w:shd w:val="clear" w:color="auto" w:fill="auto"/>
            <w:noWrap/>
            <w:hideMark/>
          </w:tcPr>
          <w:p w14:paraId="38717090" w14:textId="77777777" w:rsidR="006049E2" w:rsidRPr="00EE5561" w:rsidRDefault="006049E2" w:rsidP="006049E2">
            <w:pPr>
              <w:rPr>
                <w:rFonts w:eastAsia="Times New Roman"/>
                <w:sz w:val="20"/>
                <w:szCs w:val="20"/>
              </w:rPr>
            </w:pPr>
            <w:r w:rsidRPr="00EE5561">
              <w:rPr>
                <w:rFonts w:eastAsia="Times New Roman"/>
                <w:sz w:val="20"/>
                <w:szCs w:val="20"/>
              </w:rPr>
              <w:t>(6-12)</w:t>
            </w:r>
          </w:p>
        </w:tc>
        <w:tc>
          <w:tcPr>
            <w:tcW w:w="4720" w:type="dxa"/>
            <w:shd w:val="clear" w:color="auto" w:fill="auto"/>
            <w:hideMark/>
          </w:tcPr>
          <w:p w14:paraId="72F81B4D" w14:textId="77777777" w:rsidR="006049E2" w:rsidRPr="00EE5561" w:rsidRDefault="006049E2" w:rsidP="006049E2">
            <w:pPr>
              <w:rPr>
                <w:rFonts w:eastAsia="Times New Roman"/>
                <w:sz w:val="20"/>
                <w:szCs w:val="20"/>
              </w:rPr>
            </w:pPr>
            <w:r w:rsidRPr="00EE5561">
              <w:rPr>
                <w:rFonts w:eastAsia="Times New Roman"/>
                <w:sz w:val="20"/>
                <w:szCs w:val="20"/>
              </w:rPr>
              <w:t>The New York State Council of Health-System Pharmacist’s advocates that all hospitals should encourage provisions be made for their patients upon discharge to receive a supply of all newly prescribed medications and the education that is required to ensure the optimization and safe use of their discharge medications.</w:t>
            </w:r>
          </w:p>
        </w:tc>
        <w:tc>
          <w:tcPr>
            <w:tcW w:w="4980" w:type="dxa"/>
            <w:shd w:val="clear" w:color="auto" w:fill="auto"/>
          </w:tcPr>
          <w:p w14:paraId="333C54C1" w14:textId="77777777" w:rsidR="006049E2" w:rsidRPr="00EE5561" w:rsidRDefault="006049E2" w:rsidP="006049E2">
            <w:pPr>
              <w:rPr>
                <w:rFonts w:eastAsia="Times New Roman"/>
                <w:sz w:val="20"/>
                <w:szCs w:val="20"/>
              </w:rPr>
            </w:pPr>
            <w:r>
              <w:rPr>
                <w:rFonts w:eastAsia="Times New Roman"/>
                <w:sz w:val="20"/>
                <w:szCs w:val="20"/>
              </w:rPr>
              <w:t>Renew</w:t>
            </w:r>
          </w:p>
        </w:tc>
      </w:tr>
      <w:tr w:rsidR="006049E2" w:rsidRPr="00EE5561" w14:paraId="07C50488" w14:textId="77777777" w:rsidTr="006049E2">
        <w:trPr>
          <w:trHeight w:val="792"/>
        </w:trPr>
        <w:tc>
          <w:tcPr>
            <w:tcW w:w="1550" w:type="dxa"/>
            <w:shd w:val="clear" w:color="auto" w:fill="auto"/>
            <w:noWrap/>
            <w:hideMark/>
          </w:tcPr>
          <w:p w14:paraId="5586A584" w14:textId="77777777" w:rsidR="006049E2" w:rsidRPr="00EE5561" w:rsidRDefault="006049E2" w:rsidP="006049E2">
            <w:pPr>
              <w:rPr>
                <w:rFonts w:eastAsia="Times New Roman"/>
                <w:sz w:val="20"/>
                <w:szCs w:val="20"/>
              </w:rPr>
            </w:pPr>
            <w:r w:rsidRPr="00EE5561">
              <w:rPr>
                <w:rFonts w:eastAsia="Times New Roman"/>
                <w:sz w:val="20"/>
                <w:szCs w:val="20"/>
              </w:rPr>
              <w:t>(7-12)</w:t>
            </w:r>
          </w:p>
        </w:tc>
        <w:tc>
          <w:tcPr>
            <w:tcW w:w="4720" w:type="dxa"/>
            <w:shd w:val="clear" w:color="auto" w:fill="auto"/>
            <w:hideMark/>
          </w:tcPr>
          <w:p w14:paraId="298894AB" w14:textId="011F3D48" w:rsidR="006049E2" w:rsidRPr="00EE5561" w:rsidRDefault="006049E2" w:rsidP="006049E2">
            <w:pPr>
              <w:rPr>
                <w:rFonts w:eastAsia="Times New Roman"/>
                <w:sz w:val="20"/>
                <w:szCs w:val="20"/>
              </w:rPr>
            </w:pPr>
            <w:r w:rsidRPr="00EE5561">
              <w:rPr>
                <w:rFonts w:eastAsia="Times New Roman"/>
                <w:sz w:val="20"/>
                <w:szCs w:val="20"/>
              </w:rPr>
              <w:t>NYSCHP advocates that patient specific information regarding pharmacogenomics if available and considered standard of care should be included in patient profiles.</w:t>
            </w:r>
          </w:p>
        </w:tc>
        <w:tc>
          <w:tcPr>
            <w:tcW w:w="4980" w:type="dxa"/>
            <w:shd w:val="clear" w:color="auto" w:fill="auto"/>
          </w:tcPr>
          <w:p w14:paraId="4612EC56" w14:textId="77777777" w:rsidR="006049E2" w:rsidRDefault="006049E2" w:rsidP="006049E2">
            <w:pPr>
              <w:rPr>
                <w:rFonts w:eastAsia="Times New Roman"/>
                <w:sz w:val="20"/>
                <w:szCs w:val="20"/>
              </w:rPr>
            </w:pPr>
            <w:r>
              <w:rPr>
                <w:rFonts w:eastAsia="Times New Roman"/>
                <w:sz w:val="20"/>
                <w:szCs w:val="20"/>
              </w:rPr>
              <w:t>Amended:</w:t>
            </w:r>
          </w:p>
          <w:p w14:paraId="5660EE5E" w14:textId="77777777" w:rsidR="006049E2" w:rsidRDefault="006049E2" w:rsidP="006049E2">
            <w:pPr>
              <w:rPr>
                <w:rFonts w:eastAsia="Times New Roman"/>
                <w:sz w:val="20"/>
                <w:szCs w:val="20"/>
              </w:rPr>
            </w:pPr>
          </w:p>
          <w:p w14:paraId="77BC242F" w14:textId="5FA5811C" w:rsidR="006049E2" w:rsidRPr="00EE5561" w:rsidRDefault="006049E2" w:rsidP="006049E2">
            <w:pPr>
              <w:rPr>
                <w:rFonts w:eastAsia="Times New Roman"/>
                <w:sz w:val="20"/>
                <w:szCs w:val="20"/>
              </w:rPr>
            </w:pPr>
            <w:r w:rsidRPr="00EE5561">
              <w:rPr>
                <w:rFonts w:eastAsia="Times New Roman"/>
                <w:sz w:val="20"/>
                <w:szCs w:val="20"/>
              </w:rPr>
              <w:t xml:space="preserve">NYSCHP advocates that patient specific information regarding pharmacogenomics if available be included in </w:t>
            </w:r>
            <w:r>
              <w:rPr>
                <w:rFonts w:eastAsia="Times New Roman"/>
                <w:sz w:val="20"/>
                <w:szCs w:val="20"/>
              </w:rPr>
              <w:t xml:space="preserve">a </w:t>
            </w:r>
            <w:r w:rsidRPr="00EE5561">
              <w:rPr>
                <w:rFonts w:eastAsia="Times New Roman"/>
                <w:sz w:val="20"/>
                <w:szCs w:val="20"/>
              </w:rPr>
              <w:t>patient</w:t>
            </w:r>
            <w:r>
              <w:rPr>
                <w:rFonts w:eastAsia="Times New Roman"/>
                <w:sz w:val="20"/>
                <w:szCs w:val="20"/>
              </w:rPr>
              <w:t>’s</w:t>
            </w:r>
            <w:r w:rsidRPr="00EE5561">
              <w:rPr>
                <w:rFonts w:eastAsia="Times New Roman"/>
                <w:sz w:val="20"/>
                <w:szCs w:val="20"/>
              </w:rPr>
              <w:t xml:space="preserve"> </w:t>
            </w:r>
            <w:r>
              <w:rPr>
                <w:rFonts w:eastAsia="Times New Roman"/>
                <w:sz w:val="20"/>
                <w:szCs w:val="20"/>
              </w:rPr>
              <w:t>medical records.</w:t>
            </w:r>
          </w:p>
        </w:tc>
      </w:tr>
      <w:tr w:rsidR="006049E2" w:rsidRPr="00EE5561" w14:paraId="31BA6EE0" w14:textId="77777777" w:rsidTr="006049E2">
        <w:trPr>
          <w:trHeight w:val="3320"/>
        </w:trPr>
        <w:tc>
          <w:tcPr>
            <w:tcW w:w="1550" w:type="dxa"/>
            <w:shd w:val="clear" w:color="auto" w:fill="auto"/>
            <w:noWrap/>
            <w:hideMark/>
          </w:tcPr>
          <w:p w14:paraId="687E9B64" w14:textId="77777777" w:rsidR="006049E2" w:rsidRPr="00EE5561" w:rsidRDefault="006049E2" w:rsidP="006049E2">
            <w:pPr>
              <w:rPr>
                <w:rFonts w:eastAsia="Times New Roman"/>
                <w:sz w:val="20"/>
                <w:szCs w:val="20"/>
              </w:rPr>
            </w:pPr>
            <w:r w:rsidRPr="00EE5561">
              <w:rPr>
                <w:rFonts w:eastAsia="Times New Roman"/>
                <w:sz w:val="20"/>
                <w:szCs w:val="20"/>
              </w:rPr>
              <w:lastRenderedPageBreak/>
              <w:t>(1-07)</w:t>
            </w:r>
          </w:p>
        </w:tc>
        <w:tc>
          <w:tcPr>
            <w:tcW w:w="4720" w:type="dxa"/>
            <w:shd w:val="clear" w:color="auto" w:fill="auto"/>
            <w:hideMark/>
          </w:tcPr>
          <w:p w14:paraId="5C1C4B61" w14:textId="77777777" w:rsidR="006049E2" w:rsidRPr="00EE5561" w:rsidRDefault="006049E2" w:rsidP="006049E2">
            <w:pPr>
              <w:rPr>
                <w:rFonts w:eastAsia="Times New Roman"/>
                <w:sz w:val="20"/>
                <w:szCs w:val="20"/>
              </w:rPr>
            </w:pPr>
            <w:r w:rsidRPr="00EE5561">
              <w:rPr>
                <w:rFonts w:eastAsia="Times New Roman"/>
                <w:sz w:val="20"/>
                <w:szCs w:val="20"/>
              </w:rPr>
              <w:t>The New York State Council of Health-system Pharmacists requires that health-systems in New York State establish and maintain minimum clinical and operational competencies and educational, certification, and leadership training requirements for pharmacists and pharmacy technicians pertinent to the various types of health-system practice settings within the organization and requires pharmacists and pharmacy technicians in all health-system practice settings to continually maintain leadership, clinical and operational competencies appropriate to the area of practice and expertise and requires that health-systems in New York State ensure pharmacists and pharmacy technicians demonstrate, through competency assessment and documentation, clinical, operational and leadership competencies appropriate to the area of practice and expertise and advocates the use of professionally recognized competency assessment tools to routinely assess and document, clinical, operational and leadership competency of pharmacists and pharmacy technicians in health-systems in New York State.</w:t>
            </w:r>
          </w:p>
        </w:tc>
        <w:tc>
          <w:tcPr>
            <w:tcW w:w="4980" w:type="dxa"/>
            <w:shd w:val="clear" w:color="auto" w:fill="auto"/>
          </w:tcPr>
          <w:p w14:paraId="793D2B0A" w14:textId="77777777" w:rsidR="006049E2" w:rsidRDefault="006049E2" w:rsidP="006049E2">
            <w:pPr>
              <w:rPr>
                <w:rFonts w:eastAsia="Times New Roman"/>
                <w:sz w:val="20"/>
                <w:szCs w:val="20"/>
              </w:rPr>
            </w:pPr>
            <w:r>
              <w:rPr>
                <w:rFonts w:eastAsia="Times New Roman"/>
                <w:sz w:val="20"/>
                <w:szCs w:val="20"/>
              </w:rPr>
              <w:t xml:space="preserve">Amended: </w:t>
            </w:r>
          </w:p>
          <w:p w14:paraId="0413D4E0" w14:textId="77777777" w:rsidR="006049E2" w:rsidRDefault="006049E2" w:rsidP="006049E2">
            <w:pPr>
              <w:rPr>
                <w:rFonts w:eastAsia="Times New Roman"/>
                <w:sz w:val="20"/>
                <w:szCs w:val="20"/>
              </w:rPr>
            </w:pPr>
          </w:p>
          <w:p w14:paraId="0FEEC57B" w14:textId="77777777" w:rsidR="006049E2" w:rsidRDefault="006049E2" w:rsidP="006049E2">
            <w:r w:rsidRPr="00EE5561">
              <w:rPr>
                <w:rFonts w:eastAsia="Times New Roman"/>
                <w:sz w:val="20"/>
                <w:szCs w:val="20"/>
              </w:rPr>
              <w:t xml:space="preserve">The New York State Council of Health-system Pharmacists </w:t>
            </w:r>
            <w:r>
              <w:rPr>
                <w:rFonts w:eastAsia="Times New Roman"/>
                <w:sz w:val="20"/>
                <w:szCs w:val="20"/>
              </w:rPr>
              <w:t>advocates</w:t>
            </w:r>
            <w:r w:rsidRPr="00EE5561">
              <w:rPr>
                <w:rFonts w:eastAsia="Times New Roman"/>
                <w:sz w:val="20"/>
                <w:szCs w:val="20"/>
              </w:rPr>
              <w:t xml:space="preserve"> that health-systems in New York State establish</w:t>
            </w:r>
            <w:r>
              <w:rPr>
                <w:rFonts w:eastAsia="Times New Roman"/>
                <w:sz w:val="20"/>
                <w:szCs w:val="20"/>
              </w:rPr>
              <w:t>,</w:t>
            </w:r>
            <w:r w:rsidRPr="00EE5561">
              <w:rPr>
                <w:rFonts w:eastAsia="Times New Roman"/>
                <w:sz w:val="20"/>
                <w:szCs w:val="20"/>
              </w:rPr>
              <w:t xml:space="preserve"> </w:t>
            </w:r>
            <w:r w:rsidRPr="00DF24CD">
              <w:rPr>
                <w:rFonts w:eastAsia="Times New Roman"/>
                <w:sz w:val="20"/>
                <w:szCs w:val="20"/>
              </w:rPr>
              <w:t xml:space="preserve">continually </w:t>
            </w:r>
            <w:r w:rsidRPr="00EE5561">
              <w:rPr>
                <w:rFonts w:eastAsia="Times New Roman"/>
                <w:sz w:val="20"/>
                <w:szCs w:val="20"/>
              </w:rPr>
              <w:t xml:space="preserve">maintain </w:t>
            </w:r>
            <w:r>
              <w:rPr>
                <w:rFonts w:eastAsia="Times New Roman"/>
                <w:sz w:val="20"/>
                <w:szCs w:val="20"/>
              </w:rPr>
              <w:t xml:space="preserve">and demonstrate thorough periodic individual assessment </w:t>
            </w:r>
            <w:r w:rsidRPr="00EE5561">
              <w:rPr>
                <w:rFonts w:eastAsia="Times New Roman"/>
                <w:sz w:val="20"/>
                <w:szCs w:val="20"/>
              </w:rPr>
              <w:t>minimum clinical</w:t>
            </w:r>
            <w:r>
              <w:rPr>
                <w:rFonts w:eastAsia="Times New Roman"/>
                <w:sz w:val="20"/>
                <w:szCs w:val="20"/>
              </w:rPr>
              <w:t>,</w:t>
            </w:r>
            <w:r w:rsidRPr="00EE5561">
              <w:rPr>
                <w:rFonts w:eastAsia="Times New Roman"/>
                <w:sz w:val="20"/>
                <w:szCs w:val="20"/>
              </w:rPr>
              <w:t xml:space="preserve"> operational</w:t>
            </w:r>
            <w:r>
              <w:rPr>
                <w:rFonts w:eastAsia="Times New Roman"/>
                <w:sz w:val="20"/>
                <w:szCs w:val="20"/>
              </w:rPr>
              <w:t>, educational and leadership</w:t>
            </w:r>
            <w:r w:rsidRPr="00EE5561">
              <w:rPr>
                <w:rFonts w:eastAsia="Times New Roman"/>
                <w:sz w:val="20"/>
                <w:szCs w:val="20"/>
              </w:rPr>
              <w:t xml:space="preserve"> competencies for pharmacists and pharmacy technicians pertinent to the various types of health-system practice settings</w:t>
            </w:r>
            <w:r>
              <w:rPr>
                <w:rFonts w:eastAsia="Times New Roman"/>
                <w:sz w:val="20"/>
                <w:szCs w:val="20"/>
              </w:rPr>
              <w:t>.</w:t>
            </w:r>
            <w:r w:rsidRPr="00EE5561">
              <w:rPr>
                <w:rFonts w:eastAsia="Times New Roman"/>
                <w:sz w:val="20"/>
                <w:szCs w:val="20"/>
              </w:rPr>
              <w:t xml:space="preserve"> </w:t>
            </w:r>
            <w:r>
              <w:rPr>
                <w:rFonts w:eastAsia="Times New Roman"/>
                <w:sz w:val="20"/>
                <w:szCs w:val="20"/>
              </w:rPr>
              <w:t>To support this, we a</w:t>
            </w:r>
            <w:r w:rsidRPr="00EE5561">
              <w:rPr>
                <w:rFonts w:eastAsia="Times New Roman"/>
                <w:sz w:val="20"/>
                <w:szCs w:val="20"/>
              </w:rPr>
              <w:t>dvocate the use of professionally recognized competency assessment tools to routinely assess and document, clinical, operational and leadership competency of pharmacists and pharmacy technicians in health-systems in New York State.</w:t>
            </w:r>
          </w:p>
          <w:p w14:paraId="0F365BC9" w14:textId="77777777" w:rsidR="006049E2" w:rsidRDefault="006049E2" w:rsidP="006049E2">
            <w:pPr>
              <w:rPr>
                <w:color w:val="222222"/>
                <w:sz w:val="20"/>
                <w:szCs w:val="20"/>
                <w:shd w:val="clear" w:color="auto" w:fill="FFFFFF"/>
              </w:rPr>
            </w:pPr>
          </w:p>
          <w:p w14:paraId="4484B256" w14:textId="36B9C138" w:rsidR="006049E2" w:rsidRPr="00EE5561" w:rsidRDefault="006049E2" w:rsidP="006049E2">
            <w:pPr>
              <w:rPr>
                <w:rFonts w:eastAsia="Times New Roman"/>
                <w:sz w:val="20"/>
                <w:szCs w:val="20"/>
              </w:rPr>
            </w:pPr>
          </w:p>
        </w:tc>
      </w:tr>
      <w:tr w:rsidR="006049E2" w:rsidRPr="00EE5561" w14:paraId="1971FDB8" w14:textId="77777777" w:rsidTr="006049E2">
        <w:trPr>
          <w:trHeight w:val="1331"/>
        </w:trPr>
        <w:tc>
          <w:tcPr>
            <w:tcW w:w="1550" w:type="dxa"/>
            <w:shd w:val="clear" w:color="auto" w:fill="auto"/>
            <w:noWrap/>
            <w:hideMark/>
          </w:tcPr>
          <w:p w14:paraId="1D9001FE" w14:textId="77777777" w:rsidR="006049E2" w:rsidRPr="00EE5561" w:rsidRDefault="006049E2" w:rsidP="006049E2">
            <w:pPr>
              <w:rPr>
                <w:rFonts w:eastAsia="Times New Roman"/>
                <w:sz w:val="20"/>
                <w:szCs w:val="20"/>
              </w:rPr>
            </w:pPr>
            <w:r w:rsidRPr="00EE5561">
              <w:rPr>
                <w:rFonts w:eastAsia="Times New Roman"/>
                <w:sz w:val="20"/>
                <w:szCs w:val="20"/>
              </w:rPr>
              <w:t>(2-07)</w:t>
            </w:r>
          </w:p>
        </w:tc>
        <w:tc>
          <w:tcPr>
            <w:tcW w:w="4720" w:type="dxa"/>
            <w:shd w:val="clear" w:color="auto" w:fill="auto"/>
            <w:hideMark/>
          </w:tcPr>
          <w:p w14:paraId="38A93C19" w14:textId="77777777" w:rsidR="006049E2" w:rsidRPr="00EE5561" w:rsidRDefault="006049E2" w:rsidP="006049E2">
            <w:pPr>
              <w:rPr>
                <w:rFonts w:eastAsia="Times New Roman"/>
                <w:sz w:val="20"/>
                <w:szCs w:val="20"/>
              </w:rPr>
            </w:pPr>
            <w:r w:rsidRPr="00EE5561">
              <w:rPr>
                <w:rFonts w:eastAsia="Times New Roman"/>
                <w:sz w:val="20"/>
                <w:szCs w:val="20"/>
              </w:rPr>
              <w:t>The New York State Council of Health-system Pharmacists supports the utilization of safe and efficient systems and processes for remote medication order entry services that meet all local, state and federal regulations, and comply with the Joint Commission’s medication management standards and the American Society of Health-system Pharmacists’ Guidelines on Outsourcing Pharmaceutical Services.</w:t>
            </w:r>
          </w:p>
        </w:tc>
        <w:tc>
          <w:tcPr>
            <w:tcW w:w="4980" w:type="dxa"/>
            <w:shd w:val="clear" w:color="auto" w:fill="auto"/>
          </w:tcPr>
          <w:p w14:paraId="2B1BDDFD" w14:textId="77777777" w:rsidR="006049E2" w:rsidRDefault="006049E2" w:rsidP="006049E2">
            <w:pPr>
              <w:rPr>
                <w:rFonts w:eastAsia="Times New Roman"/>
                <w:sz w:val="20"/>
                <w:szCs w:val="20"/>
              </w:rPr>
            </w:pPr>
            <w:r>
              <w:rPr>
                <w:rFonts w:eastAsia="Times New Roman"/>
                <w:sz w:val="20"/>
                <w:szCs w:val="20"/>
              </w:rPr>
              <w:t xml:space="preserve">Amended: </w:t>
            </w:r>
          </w:p>
          <w:p w14:paraId="51D2A7BA" w14:textId="77777777" w:rsidR="006049E2" w:rsidRDefault="006049E2" w:rsidP="006049E2">
            <w:pPr>
              <w:rPr>
                <w:rFonts w:eastAsia="Times New Roman"/>
                <w:sz w:val="20"/>
                <w:szCs w:val="20"/>
              </w:rPr>
            </w:pPr>
          </w:p>
          <w:p w14:paraId="4F736838" w14:textId="2037CF26" w:rsidR="006049E2" w:rsidRPr="00EE5561" w:rsidRDefault="006049E2" w:rsidP="006049E2">
            <w:pPr>
              <w:rPr>
                <w:rFonts w:eastAsia="Times New Roman"/>
                <w:sz w:val="20"/>
                <w:szCs w:val="20"/>
              </w:rPr>
            </w:pPr>
            <w:r w:rsidRPr="00EE5561">
              <w:rPr>
                <w:rFonts w:eastAsia="Times New Roman"/>
                <w:sz w:val="20"/>
                <w:szCs w:val="20"/>
              </w:rPr>
              <w:t xml:space="preserve">The New York State Council of Health-system Pharmacists supports the utilization of safe and efficient systems and processes for remote medication order entry </w:t>
            </w:r>
            <w:r>
              <w:rPr>
                <w:rFonts w:eastAsia="Times New Roman"/>
                <w:sz w:val="20"/>
                <w:szCs w:val="20"/>
              </w:rPr>
              <w:t xml:space="preserve">and verification </w:t>
            </w:r>
            <w:r w:rsidRPr="00EE5561">
              <w:rPr>
                <w:rFonts w:eastAsia="Times New Roman"/>
                <w:sz w:val="20"/>
                <w:szCs w:val="20"/>
              </w:rPr>
              <w:t>services that meet all local, state and federal regulations, and comply with the Joint Commission’s medication management standards and the American Society of Health-system Pharmacists’ Guidelines on Outsourcing Pharmaceutical Services.</w:t>
            </w:r>
          </w:p>
        </w:tc>
      </w:tr>
      <w:tr w:rsidR="006049E2" w:rsidRPr="00EE5561" w14:paraId="5644AA16" w14:textId="77777777" w:rsidTr="006049E2">
        <w:trPr>
          <w:trHeight w:val="1188"/>
        </w:trPr>
        <w:tc>
          <w:tcPr>
            <w:tcW w:w="1550" w:type="dxa"/>
            <w:shd w:val="clear" w:color="auto" w:fill="auto"/>
            <w:noWrap/>
            <w:hideMark/>
          </w:tcPr>
          <w:p w14:paraId="59E85D21" w14:textId="77777777" w:rsidR="006049E2" w:rsidRPr="00EE5561" w:rsidRDefault="006049E2" w:rsidP="006049E2">
            <w:pPr>
              <w:rPr>
                <w:rFonts w:eastAsia="Times New Roman"/>
                <w:sz w:val="20"/>
                <w:szCs w:val="20"/>
              </w:rPr>
            </w:pPr>
            <w:r w:rsidRPr="00EE5561">
              <w:rPr>
                <w:rFonts w:eastAsia="Times New Roman"/>
                <w:sz w:val="20"/>
                <w:szCs w:val="20"/>
              </w:rPr>
              <w:t>(9-07)</w:t>
            </w:r>
          </w:p>
        </w:tc>
        <w:tc>
          <w:tcPr>
            <w:tcW w:w="4720" w:type="dxa"/>
            <w:shd w:val="clear" w:color="auto" w:fill="auto"/>
            <w:hideMark/>
          </w:tcPr>
          <w:p w14:paraId="4249AB9B" w14:textId="51EA41BB" w:rsidR="006049E2" w:rsidRPr="00EE5561" w:rsidRDefault="006049E2" w:rsidP="006049E2">
            <w:pPr>
              <w:rPr>
                <w:rFonts w:eastAsia="Times New Roman"/>
                <w:sz w:val="20"/>
                <w:szCs w:val="20"/>
              </w:rPr>
            </w:pPr>
            <w:r w:rsidRPr="00EE5561">
              <w:rPr>
                <w:rFonts w:eastAsia="Times New Roman"/>
                <w:sz w:val="20"/>
                <w:szCs w:val="20"/>
              </w:rPr>
              <w:t>The New York State Council of Health-system Pharmacists supports that health-system pharmacy leaders establish policies and procedures for health-system pharmacists responding to advanced cardiac life support and pediatric code life support situations.</w:t>
            </w:r>
          </w:p>
        </w:tc>
        <w:tc>
          <w:tcPr>
            <w:tcW w:w="4980" w:type="dxa"/>
            <w:shd w:val="clear" w:color="auto" w:fill="auto"/>
          </w:tcPr>
          <w:p w14:paraId="26562D18" w14:textId="77777777" w:rsidR="006049E2" w:rsidRDefault="006049E2" w:rsidP="006049E2">
            <w:pPr>
              <w:rPr>
                <w:rFonts w:eastAsia="Times New Roman"/>
                <w:sz w:val="20"/>
                <w:szCs w:val="20"/>
              </w:rPr>
            </w:pPr>
            <w:r>
              <w:rPr>
                <w:rFonts w:eastAsia="Times New Roman"/>
                <w:sz w:val="20"/>
                <w:szCs w:val="20"/>
              </w:rPr>
              <w:t>Amended:</w:t>
            </w:r>
          </w:p>
          <w:p w14:paraId="2A211EB2" w14:textId="77777777" w:rsidR="006049E2" w:rsidRDefault="006049E2" w:rsidP="006049E2">
            <w:pPr>
              <w:rPr>
                <w:rFonts w:eastAsia="Times New Roman"/>
                <w:sz w:val="20"/>
                <w:szCs w:val="20"/>
              </w:rPr>
            </w:pPr>
          </w:p>
          <w:p w14:paraId="1F493360" w14:textId="555C7A6F" w:rsidR="006049E2" w:rsidRPr="00EE5561" w:rsidRDefault="006049E2" w:rsidP="006049E2">
            <w:pPr>
              <w:rPr>
                <w:rFonts w:eastAsia="Times New Roman"/>
                <w:sz w:val="20"/>
                <w:szCs w:val="20"/>
              </w:rPr>
            </w:pPr>
            <w:r w:rsidRPr="00EE5561">
              <w:rPr>
                <w:rFonts w:eastAsia="Times New Roman"/>
                <w:sz w:val="20"/>
                <w:szCs w:val="20"/>
              </w:rPr>
              <w:t xml:space="preserve">The New York State Council of Health-system Pharmacists supports </w:t>
            </w:r>
            <w:r>
              <w:rPr>
                <w:rFonts w:eastAsia="Times New Roman"/>
                <w:sz w:val="20"/>
                <w:szCs w:val="20"/>
              </w:rPr>
              <w:t>pharmacy participation in</w:t>
            </w:r>
            <w:r w:rsidRPr="00EE5561">
              <w:rPr>
                <w:rFonts w:eastAsia="Times New Roman"/>
                <w:sz w:val="20"/>
                <w:szCs w:val="20"/>
              </w:rPr>
              <w:t xml:space="preserve"> responding to advanced cardiac life support</w:t>
            </w:r>
            <w:r>
              <w:rPr>
                <w:rFonts w:eastAsia="Times New Roman"/>
                <w:sz w:val="20"/>
                <w:szCs w:val="20"/>
              </w:rPr>
              <w:t>,</w:t>
            </w:r>
            <w:r w:rsidRPr="00EE5561">
              <w:rPr>
                <w:rFonts w:eastAsia="Times New Roman"/>
                <w:sz w:val="20"/>
                <w:szCs w:val="20"/>
              </w:rPr>
              <w:t xml:space="preserve"> pediatric code</w:t>
            </w:r>
            <w:r>
              <w:rPr>
                <w:rFonts w:eastAsia="Times New Roman"/>
                <w:sz w:val="20"/>
                <w:szCs w:val="20"/>
              </w:rPr>
              <w:t>, and neonatal</w:t>
            </w:r>
            <w:r w:rsidRPr="00EE5561">
              <w:rPr>
                <w:rFonts w:eastAsia="Times New Roman"/>
                <w:sz w:val="20"/>
                <w:szCs w:val="20"/>
              </w:rPr>
              <w:t xml:space="preserve"> life support situations.</w:t>
            </w:r>
          </w:p>
        </w:tc>
      </w:tr>
      <w:tr w:rsidR="006049E2" w:rsidRPr="00EE5561" w14:paraId="7F84276B" w14:textId="77777777" w:rsidTr="006049E2">
        <w:trPr>
          <w:trHeight w:val="1142"/>
        </w:trPr>
        <w:tc>
          <w:tcPr>
            <w:tcW w:w="1550" w:type="dxa"/>
            <w:shd w:val="clear" w:color="auto" w:fill="auto"/>
            <w:noWrap/>
            <w:hideMark/>
          </w:tcPr>
          <w:p w14:paraId="1CC7DBF4" w14:textId="77777777" w:rsidR="006049E2" w:rsidRPr="00EE5561" w:rsidRDefault="006049E2" w:rsidP="006049E2">
            <w:pPr>
              <w:rPr>
                <w:rFonts w:eastAsia="Times New Roman"/>
                <w:sz w:val="20"/>
                <w:szCs w:val="20"/>
              </w:rPr>
            </w:pPr>
            <w:r w:rsidRPr="00EE5561">
              <w:rPr>
                <w:rFonts w:eastAsia="Times New Roman"/>
                <w:sz w:val="20"/>
                <w:szCs w:val="20"/>
              </w:rPr>
              <w:t>(12-07)</w:t>
            </w:r>
          </w:p>
        </w:tc>
        <w:tc>
          <w:tcPr>
            <w:tcW w:w="4720" w:type="dxa"/>
            <w:shd w:val="clear" w:color="auto" w:fill="auto"/>
            <w:hideMark/>
          </w:tcPr>
          <w:p w14:paraId="3A4DE0D4" w14:textId="4C7002A1" w:rsidR="006049E2" w:rsidRPr="00EE5561" w:rsidRDefault="006049E2" w:rsidP="006049E2">
            <w:pPr>
              <w:rPr>
                <w:rFonts w:eastAsia="Times New Roman"/>
                <w:sz w:val="20"/>
                <w:szCs w:val="20"/>
              </w:rPr>
            </w:pPr>
            <w:r w:rsidRPr="00EE5561">
              <w:rPr>
                <w:rFonts w:eastAsia="Times New Roman"/>
                <w:sz w:val="20"/>
                <w:szCs w:val="20"/>
              </w:rPr>
              <w:t>The New York State Council of Health-system Pharmacists supports the development of a campaign to educate pharmacists serving the community in various settings and employ the cooperation of said pharmacists in promoting the medication reconciliation process across the continuum of patient care.</w:t>
            </w:r>
          </w:p>
        </w:tc>
        <w:tc>
          <w:tcPr>
            <w:tcW w:w="4980" w:type="dxa"/>
            <w:shd w:val="clear" w:color="auto" w:fill="auto"/>
          </w:tcPr>
          <w:p w14:paraId="02948CD4" w14:textId="77777777" w:rsidR="006049E2" w:rsidRDefault="006049E2" w:rsidP="006049E2">
            <w:pPr>
              <w:rPr>
                <w:rFonts w:eastAsia="Times New Roman"/>
                <w:sz w:val="20"/>
                <w:szCs w:val="20"/>
              </w:rPr>
            </w:pPr>
            <w:r>
              <w:rPr>
                <w:rFonts w:eastAsia="Times New Roman"/>
                <w:sz w:val="20"/>
                <w:szCs w:val="20"/>
              </w:rPr>
              <w:t>Amended:</w:t>
            </w:r>
          </w:p>
          <w:p w14:paraId="3851EBC1" w14:textId="77777777" w:rsidR="006049E2" w:rsidRDefault="006049E2" w:rsidP="006049E2">
            <w:pPr>
              <w:rPr>
                <w:rFonts w:eastAsia="Times New Roman"/>
                <w:sz w:val="20"/>
                <w:szCs w:val="20"/>
              </w:rPr>
            </w:pPr>
          </w:p>
          <w:p w14:paraId="58B6FFE7" w14:textId="2AE42B99" w:rsidR="006049E2" w:rsidRPr="00EE5561" w:rsidRDefault="006049E2" w:rsidP="006049E2">
            <w:pPr>
              <w:rPr>
                <w:rFonts w:eastAsia="Times New Roman"/>
                <w:sz w:val="20"/>
                <w:szCs w:val="20"/>
              </w:rPr>
            </w:pPr>
            <w:r w:rsidRPr="00EE5561">
              <w:rPr>
                <w:rFonts w:eastAsia="Times New Roman"/>
                <w:sz w:val="20"/>
                <w:szCs w:val="20"/>
              </w:rPr>
              <w:t>The New York State Council of Health-system Pharmacists supports</w:t>
            </w:r>
            <w:r>
              <w:rPr>
                <w:rFonts w:eastAsia="Times New Roman"/>
                <w:sz w:val="20"/>
                <w:szCs w:val="20"/>
              </w:rPr>
              <w:t xml:space="preserve"> educating</w:t>
            </w:r>
            <w:r w:rsidRPr="00EE5561">
              <w:rPr>
                <w:rFonts w:eastAsia="Times New Roman"/>
                <w:sz w:val="20"/>
                <w:szCs w:val="20"/>
              </w:rPr>
              <w:t xml:space="preserve"> outpatient</w:t>
            </w:r>
            <w:r>
              <w:rPr>
                <w:rFonts w:eastAsia="Times New Roman"/>
                <w:sz w:val="20"/>
                <w:szCs w:val="20"/>
              </w:rPr>
              <w:t xml:space="preserve"> pharmacists </w:t>
            </w:r>
            <w:r w:rsidRPr="00EE5561">
              <w:rPr>
                <w:rFonts w:eastAsia="Times New Roman"/>
                <w:sz w:val="20"/>
                <w:szCs w:val="20"/>
              </w:rPr>
              <w:t xml:space="preserve">in various settings </w:t>
            </w:r>
            <w:r>
              <w:rPr>
                <w:rFonts w:eastAsia="Times New Roman"/>
                <w:sz w:val="20"/>
                <w:szCs w:val="20"/>
              </w:rPr>
              <w:t xml:space="preserve">in order to improve and enhance the </w:t>
            </w:r>
            <w:r w:rsidRPr="00EE5561">
              <w:rPr>
                <w:rFonts w:eastAsia="Times New Roman"/>
                <w:sz w:val="20"/>
                <w:szCs w:val="20"/>
              </w:rPr>
              <w:t>medication reconciliation process across the continuum of patient care.</w:t>
            </w:r>
          </w:p>
        </w:tc>
      </w:tr>
      <w:tr w:rsidR="006049E2" w:rsidRPr="00EE5561" w14:paraId="6DF59D39" w14:textId="77777777" w:rsidTr="006049E2">
        <w:trPr>
          <w:trHeight w:val="269"/>
        </w:trPr>
        <w:tc>
          <w:tcPr>
            <w:tcW w:w="11250" w:type="dxa"/>
            <w:gridSpan w:val="3"/>
            <w:shd w:val="clear" w:color="auto" w:fill="auto"/>
            <w:noWrap/>
          </w:tcPr>
          <w:p w14:paraId="1DCD745C" w14:textId="6B8BB909" w:rsidR="006049E2" w:rsidRPr="006049E2" w:rsidRDefault="006049E2" w:rsidP="006049E2">
            <w:pPr>
              <w:jc w:val="center"/>
              <w:rPr>
                <w:rFonts w:eastAsia="Times New Roman"/>
                <w:sz w:val="20"/>
                <w:szCs w:val="20"/>
              </w:rPr>
            </w:pPr>
            <w:r w:rsidRPr="006049E2">
              <w:rPr>
                <w:sz w:val="20"/>
                <w:szCs w:val="20"/>
              </w:rPr>
              <w:t>Reviewed by Public Policy Committee</w:t>
            </w:r>
          </w:p>
        </w:tc>
      </w:tr>
      <w:tr w:rsidR="006049E2" w:rsidRPr="00EE5561" w14:paraId="5FD5D19F" w14:textId="77777777" w:rsidTr="006049E2">
        <w:trPr>
          <w:trHeight w:val="1142"/>
        </w:trPr>
        <w:tc>
          <w:tcPr>
            <w:tcW w:w="1550" w:type="dxa"/>
            <w:shd w:val="clear" w:color="auto" w:fill="auto"/>
            <w:noWrap/>
          </w:tcPr>
          <w:p w14:paraId="6C88EE8B" w14:textId="28E1ADDA" w:rsidR="006049E2" w:rsidRPr="00EE5561" w:rsidRDefault="006049E2" w:rsidP="006049E2">
            <w:pPr>
              <w:rPr>
                <w:rFonts w:eastAsia="Times New Roman"/>
                <w:sz w:val="20"/>
                <w:szCs w:val="20"/>
              </w:rPr>
            </w:pPr>
            <w:r w:rsidRPr="00F8202F">
              <w:rPr>
                <w:sz w:val="20"/>
                <w:szCs w:val="20"/>
              </w:rPr>
              <w:t>(6-07)</w:t>
            </w:r>
          </w:p>
        </w:tc>
        <w:tc>
          <w:tcPr>
            <w:tcW w:w="4720" w:type="dxa"/>
            <w:shd w:val="clear" w:color="auto" w:fill="auto"/>
          </w:tcPr>
          <w:p w14:paraId="5C3437F7" w14:textId="261EFE2F" w:rsidR="006049E2" w:rsidRPr="00EE5561" w:rsidRDefault="006049E2" w:rsidP="006049E2">
            <w:pPr>
              <w:rPr>
                <w:rFonts w:eastAsia="Times New Roman"/>
                <w:sz w:val="20"/>
                <w:szCs w:val="20"/>
              </w:rPr>
            </w:pPr>
            <w:r w:rsidRPr="00F8202F">
              <w:rPr>
                <w:sz w:val="20"/>
                <w:szCs w:val="20"/>
              </w:rPr>
              <w:t>The New York State Council of Health-system Pharmacists supports the modification of Part III of the NYS Pharmacy Board Exam to include c</w:t>
            </w:r>
            <w:bookmarkStart w:id="0" w:name="_GoBack"/>
            <w:bookmarkEnd w:id="0"/>
            <w:r w:rsidRPr="00F8202F">
              <w:rPr>
                <w:sz w:val="20"/>
                <w:szCs w:val="20"/>
              </w:rPr>
              <w:t>ompetency assessment of the application of clinical and operational pharmacy practice knowledge and skills.</w:t>
            </w:r>
          </w:p>
        </w:tc>
        <w:tc>
          <w:tcPr>
            <w:tcW w:w="4980" w:type="dxa"/>
            <w:shd w:val="clear" w:color="auto" w:fill="auto"/>
          </w:tcPr>
          <w:p w14:paraId="5A53E71B" w14:textId="508F6B3C" w:rsidR="006049E2" w:rsidRPr="006049E2" w:rsidRDefault="006049E2" w:rsidP="006049E2">
            <w:pPr>
              <w:rPr>
                <w:rFonts w:eastAsia="Times New Roman"/>
                <w:sz w:val="20"/>
                <w:szCs w:val="20"/>
              </w:rPr>
            </w:pPr>
            <w:r w:rsidRPr="006049E2">
              <w:rPr>
                <w:sz w:val="20"/>
                <w:szCs w:val="20"/>
              </w:rPr>
              <w:t>Sunset</w:t>
            </w:r>
          </w:p>
        </w:tc>
      </w:tr>
      <w:tr w:rsidR="006049E2" w:rsidRPr="00EE5561" w14:paraId="689055BA" w14:textId="77777777" w:rsidTr="006049E2">
        <w:trPr>
          <w:trHeight w:val="1142"/>
        </w:trPr>
        <w:tc>
          <w:tcPr>
            <w:tcW w:w="1550" w:type="dxa"/>
            <w:shd w:val="clear" w:color="auto" w:fill="auto"/>
            <w:noWrap/>
          </w:tcPr>
          <w:p w14:paraId="6FFCEFF4" w14:textId="094DE18E" w:rsidR="006049E2" w:rsidRPr="00EE5561" w:rsidRDefault="006049E2" w:rsidP="006049E2">
            <w:pPr>
              <w:rPr>
                <w:rFonts w:eastAsia="Times New Roman"/>
                <w:sz w:val="20"/>
                <w:szCs w:val="20"/>
              </w:rPr>
            </w:pPr>
            <w:r w:rsidRPr="00F8202F">
              <w:rPr>
                <w:sz w:val="20"/>
                <w:szCs w:val="20"/>
              </w:rPr>
              <w:t>(11-07)</w:t>
            </w:r>
          </w:p>
        </w:tc>
        <w:tc>
          <w:tcPr>
            <w:tcW w:w="4720" w:type="dxa"/>
            <w:shd w:val="clear" w:color="auto" w:fill="auto"/>
          </w:tcPr>
          <w:p w14:paraId="558E5754" w14:textId="21FDAF45" w:rsidR="006049E2" w:rsidRPr="00EE5561" w:rsidRDefault="006049E2" w:rsidP="006049E2">
            <w:pPr>
              <w:rPr>
                <w:rFonts w:eastAsia="Times New Roman"/>
                <w:sz w:val="20"/>
                <w:szCs w:val="20"/>
              </w:rPr>
            </w:pPr>
            <w:r w:rsidRPr="00F8202F">
              <w:rPr>
                <w:sz w:val="20"/>
                <w:szCs w:val="20"/>
              </w:rPr>
              <w:t>The New York State Council of Health-system Pharmacists supports amending the New York State Education Law to create and support a private organization to engage in advertisement, outreach, and counseling of pharmacists who are, or may be, suffering from addictive disease or other problems that may result in the impairment of the ability to safely and effectively practice the profession.</w:t>
            </w:r>
          </w:p>
        </w:tc>
        <w:tc>
          <w:tcPr>
            <w:tcW w:w="4980" w:type="dxa"/>
            <w:shd w:val="clear" w:color="auto" w:fill="auto"/>
          </w:tcPr>
          <w:p w14:paraId="50B91CBD" w14:textId="2FE6EBE6" w:rsidR="006049E2" w:rsidRDefault="006049E2" w:rsidP="006049E2">
            <w:pPr>
              <w:rPr>
                <w:rFonts w:eastAsia="Times New Roman"/>
                <w:sz w:val="20"/>
                <w:szCs w:val="20"/>
              </w:rPr>
            </w:pPr>
            <w:r>
              <w:rPr>
                <w:sz w:val="20"/>
                <w:szCs w:val="20"/>
              </w:rPr>
              <w:t>Sunset</w:t>
            </w:r>
          </w:p>
        </w:tc>
      </w:tr>
      <w:tr w:rsidR="006049E2" w:rsidRPr="00EE5561" w14:paraId="611BDD7C" w14:textId="77777777" w:rsidTr="006049E2">
        <w:trPr>
          <w:trHeight w:val="1142"/>
        </w:trPr>
        <w:tc>
          <w:tcPr>
            <w:tcW w:w="1550" w:type="dxa"/>
            <w:shd w:val="clear" w:color="auto" w:fill="auto"/>
            <w:noWrap/>
          </w:tcPr>
          <w:p w14:paraId="26125710" w14:textId="77253906" w:rsidR="006049E2" w:rsidRPr="00EE5561" w:rsidRDefault="006049E2" w:rsidP="006049E2">
            <w:pPr>
              <w:rPr>
                <w:rFonts w:eastAsia="Times New Roman"/>
                <w:sz w:val="20"/>
                <w:szCs w:val="20"/>
              </w:rPr>
            </w:pPr>
            <w:r w:rsidRPr="00F8202F">
              <w:rPr>
                <w:sz w:val="20"/>
                <w:szCs w:val="20"/>
              </w:rPr>
              <w:lastRenderedPageBreak/>
              <w:t>(5-12)</w:t>
            </w:r>
          </w:p>
        </w:tc>
        <w:tc>
          <w:tcPr>
            <w:tcW w:w="4720" w:type="dxa"/>
            <w:shd w:val="clear" w:color="auto" w:fill="auto"/>
          </w:tcPr>
          <w:p w14:paraId="28A2C9DF" w14:textId="72E81E75" w:rsidR="006049E2" w:rsidRPr="00EE5561" w:rsidRDefault="006049E2" w:rsidP="006049E2">
            <w:pPr>
              <w:rPr>
                <w:rFonts w:eastAsia="Times New Roman"/>
                <w:sz w:val="20"/>
                <w:szCs w:val="20"/>
              </w:rPr>
            </w:pPr>
            <w:r w:rsidRPr="00F8202F">
              <w:rPr>
                <w:sz w:val="20"/>
                <w:szCs w:val="20"/>
              </w:rPr>
              <w:t>NYSCHP encourage the NYS Board of Pharmacy to replace the “one year of satisfactory experience” requirement to that of “successful completion of an ASHP accredited PGY1 program” for residents reciprocating their Pharmacist license.</w:t>
            </w:r>
          </w:p>
        </w:tc>
        <w:tc>
          <w:tcPr>
            <w:tcW w:w="4980" w:type="dxa"/>
            <w:shd w:val="clear" w:color="auto" w:fill="auto"/>
          </w:tcPr>
          <w:p w14:paraId="306FFFD6" w14:textId="77777777" w:rsidR="006049E2" w:rsidRPr="006049E2" w:rsidRDefault="006049E2" w:rsidP="006049E2">
            <w:pPr>
              <w:rPr>
                <w:sz w:val="20"/>
                <w:szCs w:val="20"/>
              </w:rPr>
            </w:pPr>
            <w:r w:rsidRPr="006049E2">
              <w:rPr>
                <w:sz w:val="20"/>
                <w:szCs w:val="20"/>
              </w:rPr>
              <w:t>Amended:</w:t>
            </w:r>
          </w:p>
          <w:p w14:paraId="53B67ACD" w14:textId="77777777" w:rsidR="006049E2" w:rsidRPr="006049E2" w:rsidRDefault="006049E2" w:rsidP="006049E2">
            <w:pPr>
              <w:rPr>
                <w:sz w:val="20"/>
                <w:szCs w:val="20"/>
              </w:rPr>
            </w:pPr>
          </w:p>
          <w:p w14:paraId="08272750" w14:textId="1A91DDF2" w:rsidR="006049E2" w:rsidRPr="006049E2" w:rsidRDefault="006049E2" w:rsidP="006049E2">
            <w:pPr>
              <w:rPr>
                <w:rFonts w:eastAsia="Times New Roman"/>
                <w:sz w:val="20"/>
                <w:szCs w:val="20"/>
              </w:rPr>
            </w:pPr>
            <w:r w:rsidRPr="006049E2">
              <w:rPr>
                <w:sz w:val="20"/>
                <w:szCs w:val="20"/>
              </w:rPr>
              <w:t>NYSCHP encourages the NYS Board of Pharmacy to replace the “one year of satisfactory experience” requirement to that of “one year of satisfactory experience or successful completion of an ASHP accredited PGY1 program” for residents reciprocating their Pharmacist license.</w:t>
            </w:r>
          </w:p>
          <w:p w14:paraId="260CE2EF" w14:textId="77777777" w:rsidR="006049E2" w:rsidRPr="006049E2" w:rsidRDefault="006049E2" w:rsidP="006049E2">
            <w:pPr>
              <w:ind w:firstLine="720"/>
              <w:rPr>
                <w:rFonts w:eastAsia="Times New Roman"/>
                <w:sz w:val="20"/>
                <w:szCs w:val="20"/>
              </w:rPr>
            </w:pPr>
          </w:p>
        </w:tc>
      </w:tr>
      <w:tr w:rsidR="006049E2" w:rsidRPr="00EE5561" w14:paraId="4FF90D7A" w14:textId="77777777" w:rsidTr="006049E2">
        <w:trPr>
          <w:trHeight w:val="1142"/>
        </w:trPr>
        <w:tc>
          <w:tcPr>
            <w:tcW w:w="1550" w:type="dxa"/>
            <w:shd w:val="clear" w:color="auto" w:fill="auto"/>
            <w:noWrap/>
          </w:tcPr>
          <w:p w14:paraId="3F801C93" w14:textId="15BF0E20" w:rsidR="006049E2" w:rsidRPr="00EE5561" w:rsidRDefault="006049E2" w:rsidP="006049E2">
            <w:pPr>
              <w:rPr>
                <w:rFonts w:eastAsia="Times New Roman"/>
                <w:sz w:val="20"/>
                <w:szCs w:val="20"/>
              </w:rPr>
            </w:pPr>
            <w:r w:rsidRPr="001170C8">
              <w:rPr>
                <w:sz w:val="20"/>
                <w:szCs w:val="20"/>
              </w:rPr>
              <w:t>(03-17)</w:t>
            </w:r>
          </w:p>
        </w:tc>
        <w:tc>
          <w:tcPr>
            <w:tcW w:w="4720" w:type="dxa"/>
            <w:shd w:val="clear" w:color="auto" w:fill="auto"/>
          </w:tcPr>
          <w:p w14:paraId="30D51376" w14:textId="479F168F" w:rsidR="006049E2" w:rsidRPr="00EE5561" w:rsidRDefault="006049E2" w:rsidP="006049E2">
            <w:pPr>
              <w:rPr>
                <w:rFonts w:eastAsia="Times New Roman"/>
                <w:sz w:val="20"/>
                <w:szCs w:val="20"/>
              </w:rPr>
            </w:pPr>
            <w:r w:rsidRPr="001170C8">
              <w:rPr>
                <w:sz w:val="20"/>
                <w:szCs w:val="20"/>
              </w:rPr>
              <w:t>The New York State Council of Health-system Pharmacists opposes the establishment of a philosophical exemption from school immunization requirements in New York state.</w:t>
            </w:r>
          </w:p>
        </w:tc>
        <w:tc>
          <w:tcPr>
            <w:tcW w:w="4980" w:type="dxa"/>
            <w:shd w:val="clear" w:color="auto" w:fill="auto"/>
          </w:tcPr>
          <w:p w14:paraId="79586A75" w14:textId="3BC03CCB" w:rsidR="006049E2" w:rsidRDefault="006049E2" w:rsidP="006049E2">
            <w:pPr>
              <w:rPr>
                <w:rFonts w:eastAsia="Times New Roman"/>
                <w:sz w:val="20"/>
                <w:szCs w:val="20"/>
              </w:rPr>
            </w:pPr>
            <w:r>
              <w:rPr>
                <w:sz w:val="20"/>
                <w:szCs w:val="20"/>
              </w:rPr>
              <w:t>Sunset</w:t>
            </w:r>
          </w:p>
        </w:tc>
      </w:tr>
      <w:tr w:rsidR="006049E2" w:rsidRPr="00EE5561" w14:paraId="55F070E3" w14:textId="77777777" w:rsidTr="006049E2">
        <w:trPr>
          <w:trHeight w:val="1142"/>
        </w:trPr>
        <w:tc>
          <w:tcPr>
            <w:tcW w:w="1550" w:type="dxa"/>
            <w:shd w:val="clear" w:color="auto" w:fill="auto"/>
            <w:noWrap/>
          </w:tcPr>
          <w:p w14:paraId="54016DAB" w14:textId="2CF11DEC" w:rsidR="006049E2" w:rsidRPr="001170C8" w:rsidRDefault="006049E2" w:rsidP="006049E2">
            <w:pPr>
              <w:rPr>
                <w:sz w:val="20"/>
                <w:szCs w:val="20"/>
              </w:rPr>
            </w:pPr>
            <w:r w:rsidRPr="008177B9">
              <w:rPr>
                <w:sz w:val="20"/>
                <w:szCs w:val="20"/>
              </w:rPr>
              <w:t>(05-17)</w:t>
            </w:r>
          </w:p>
        </w:tc>
        <w:tc>
          <w:tcPr>
            <w:tcW w:w="4720" w:type="dxa"/>
            <w:shd w:val="clear" w:color="auto" w:fill="auto"/>
          </w:tcPr>
          <w:p w14:paraId="55D92012" w14:textId="4E83032F" w:rsidR="006049E2" w:rsidRDefault="006049E2" w:rsidP="006049E2">
            <w:pPr>
              <w:rPr>
                <w:sz w:val="20"/>
                <w:szCs w:val="20"/>
              </w:rPr>
            </w:pPr>
            <w:r w:rsidRPr="008177B9">
              <w:rPr>
                <w:sz w:val="20"/>
                <w:szCs w:val="20"/>
              </w:rPr>
              <w:t>The New York State Council of Health-system Pharmacists believes that all Americans should have the option to have health insurance and thereby supports access to affordable, equitable, and quality healthcare for all.</w:t>
            </w:r>
          </w:p>
          <w:p w14:paraId="39645784" w14:textId="597E3E37" w:rsidR="006049E2" w:rsidRDefault="006049E2" w:rsidP="006049E2">
            <w:pPr>
              <w:rPr>
                <w:sz w:val="20"/>
                <w:szCs w:val="20"/>
              </w:rPr>
            </w:pPr>
          </w:p>
          <w:p w14:paraId="5B25A6F6" w14:textId="77777777" w:rsidR="006049E2" w:rsidRPr="006049E2" w:rsidRDefault="006049E2" w:rsidP="006049E2">
            <w:pPr>
              <w:jc w:val="center"/>
              <w:rPr>
                <w:sz w:val="20"/>
                <w:szCs w:val="20"/>
              </w:rPr>
            </w:pPr>
          </w:p>
        </w:tc>
        <w:tc>
          <w:tcPr>
            <w:tcW w:w="4980" w:type="dxa"/>
            <w:shd w:val="clear" w:color="auto" w:fill="auto"/>
          </w:tcPr>
          <w:p w14:paraId="05B04269" w14:textId="0DA258B9" w:rsidR="006049E2" w:rsidRDefault="006049E2" w:rsidP="006049E2">
            <w:pPr>
              <w:rPr>
                <w:sz w:val="20"/>
                <w:szCs w:val="20"/>
              </w:rPr>
            </w:pPr>
            <w:r>
              <w:rPr>
                <w:sz w:val="20"/>
                <w:szCs w:val="20"/>
              </w:rPr>
              <w:t>Renew</w:t>
            </w:r>
          </w:p>
        </w:tc>
      </w:tr>
    </w:tbl>
    <w:p w14:paraId="434D7539" w14:textId="77777777" w:rsidR="00193FBD" w:rsidRDefault="00193FBD"/>
    <w:sectPr w:rsidR="00193FBD" w:rsidSect="006049E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9BB"/>
    <w:rsid w:val="00123BF2"/>
    <w:rsid w:val="00193FBD"/>
    <w:rsid w:val="006049E2"/>
    <w:rsid w:val="00A56096"/>
    <w:rsid w:val="00AC6E52"/>
    <w:rsid w:val="00B36D3A"/>
    <w:rsid w:val="00BC2B56"/>
    <w:rsid w:val="00DC3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278D1"/>
  <w15:chartTrackingRefBased/>
  <w15:docId w15:val="{DB140230-B900-422C-9991-5F39E70FB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9BB"/>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6049E2"/>
    <w:rPr>
      <w:sz w:val="16"/>
      <w:szCs w:val="16"/>
    </w:rPr>
  </w:style>
  <w:style w:type="paragraph" w:styleId="CommentText">
    <w:name w:val="annotation text"/>
    <w:basedOn w:val="Normal"/>
    <w:link w:val="CommentTextChar"/>
    <w:uiPriority w:val="99"/>
    <w:rsid w:val="006049E2"/>
    <w:rPr>
      <w:rFonts w:eastAsia="Times New Roman"/>
      <w:sz w:val="20"/>
      <w:szCs w:val="20"/>
      <w:lang w:eastAsia="en-US"/>
    </w:rPr>
  </w:style>
  <w:style w:type="character" w:customStyle="1" w:styleId="CommentTextChar">
    <w:name w:val="Comment Text Char"/>
    <w:basedOn w:val="DefaultParagraphFont"/>
    <w:link w:val="CommentText"/>
    <w:uiPriority w:val="99"/>
    <w:rsid w:val="006049E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049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9E2"/>
    <w:rPr>
      <w:rFonts w:ascii="Segoe UI" w:eastAsia="MS Mincho"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1940</Words>
  <Characters>11058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Seyse, Stephanie</cp:lastModifiedBy>
  <cp:revision>2</cp:revision>
  <dcterms:created xsi:type="dcterms:W3CDTF">2021-10-29T19:44:00Z</dcterms:created>
  <dcterms:modified xsi:type="dcterms:W3CDTF">2021-10-29T19:44:00Z</dcterms:modified>
</cp:coreProperties>
</file>