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B53BB" w14:textId="7AEC0CF0" w:rsidR="006A7F4E" w:rsidRDefault="006A7F4E" w:rsidP="006A7F4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Committee: New York City Society of Health-System Pharmacists </w:t>
      </w:r>
    </w:p>
    <w:p w14:paraId="79277CF5" w14:textId="7E75E16A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 w:rsidRPr="006A7F4E">
        <w:rPr>
          <w:rStyle w:val="normaltextrun"/>
          <w:b/>
          <w:bCs/>
          <w:color w:val="000000"/>
        </w:rPr>
        <w:t xml:space="preserve">Topic: </w:t>
      </w:r>
      <w:r w:rsidRPr="006A7F4E">
        <w:rPr>
          <w:rStyle w:val="normaltextrun"/>
          <w:b/>
          <w:bCs/>
          <w:color w:val="000000"/>
        </w:rPr>
        <w:t>Diversity in Education</w:t>
      </w:r>
    </w:p>
    <w:p w14:paraId="0B5599A5" w14:textId="2982AEBB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Sponsored: Elsen Jacob, Pavel Goriacko, Jamie Chin-Hon, Toshiba Morgan-Joseph</w:t>
      </w:r>
    </w:p>
    <w:p w14:paraId="7AF1B0EC" w14:textId="4E8AC823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scxw216656207"/>
        </w:rPr>
        <w:t> </w:t>
      </w:r>
      <w:r w:rsidRPr="006A7F4E">
        <w:rPr>
          <w:rStyle w:val="eop"/>
        </w:rPr>
        <w:t> </w:t>
      </w:r>
    </w:p>
    <w:p w14:paraId="251D398F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normaltextrun"/>
          <w:color w:val="000000"/>
        </w:rPr>
        <w:t>Whereas the current health system pharmacy workforce does not adequately represent the diversity of the patient population in the United States.</w:t>
      </w:r>
      <w:r w:rsidRPr="006A7F4E">
        <w:rPr>
          <w:rStyle w:val="normaltextrun"/>
          <w:color w:val="000000"/>
          <w:vertAlign w:val="superscript"/>
        </w:rPr>
        <w:t>1,2,3</w:t>
      </w:r>
      <w:r w:rsidRPr="006A7F4E">
        <w:rPr>
          <w:rStyle w:val="eop"/>
          <w:color w:val="000000"/>
        </w:rPr>
        <w:t> </w:t>
      </w:r>
    </w:p>
    <w:p w14:paraId="6D35E51C" w14:textId="79B92343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scxw216656207"/>
        </w:rPr>
        <w:t> </w:t>
      </w:r>
    </w:p>
    <w:p w14:paraId="47A34BEC" w14:textId="1575F21C" w:rsidR="006A7F4E" w:rsidRDefault="006A7F4E" w:rsidP="006A7F4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6A7F4E">
        <w:rPr>
          <w:rStyle w:val="normaltextrun"/>
          <w:color w:val="000000"/>
        </w:rPr>
        <w:t>Where the current Doctor of Pharmacy student population does not adequately represent the diversity of the patient population.</w:t>
      </w:r>
      <w:r w:rsidRPr="006A7F4E">
        <w:rPr>
          <w:rStyle w:val="normaltextrun"/>
          <w:color w:val="000000"/>
          <w:vertAlign w:val="superscript"/>
        </w:rPr>
        <w:t>4</w:t>
      </w:r>
      <w:r w:rsidRPr="006A7F4E">
        <w:rPr>
          <w:rStyle w:val="eop"/>
          <w:color w:val="000000"/>
        </w:rPr>
        <w:t> </w:t>
      </w:r>
    </w:p>
    <w:p w14:paraId="68D5DC29" w14:textId="6F6BEF60" w:rsidR="006A7F4E" w:rsidRDefault="006A7F4E" w:rsidP="006A7F4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1ACB37F4" w14:textId="3B81A7AB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6A7F4E">
        <w:rPr>
          <w:rStyle w:val="eop"/>
          <w:i/>
          <w:iCs/>
          <w:color w:val="000000"/>
        </w:rPr>
        <w:t>Resolved that,</w:t>
      </w:r>
    </w:p>
    <w:p w14:paraId="5EA4742D" w14:textId="02905A3F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scxw216656207"/>
        </w:rPr>
        <w:t> </w:t>
      </w:r>
    </w:p>
    <w:p w14:paraId="6609BB36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normaltextrun"/>
          <w:color w:val="000000"/>
        </w:rPr>
        <w:t>The New York State Council of Health-system Pharmacists supports a larger enrollment of students from historically underrepresented backgrounds in Doctor of Pharmacy and residency training programs, to increase the number of diverse practitioners to better serve our communities. </w:t>
      </w:r>
      <w:r w:rsidRPr="006A7F4E">
        <w:rPr>
          <w:rStyle w:val="eop"/>
          <w:color w:val="000000"/>
        </w:rPr>
        <w:t> </w:t>
      </w:r>
    </w:p>
    <w:p w14:paraId="1E5FF0CB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eop"/>
        </w:rPr>
        <w:t> </w:t>
      </w:r>
    </w:p>
    <w:p w14:paraId="61A55DFB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normaltextrun"/>
          <w:color w:val="000000"/>
        </w:rPr>
        <w:t>Signed: </w:t>
      </w:r>
      <w:r w:rsidRPr="006A7F4E">
        <w:rPr>
          <w:rStyle w:val="eop"/>
          <w:color w:val="000000"/>
        </w:rPr>
        <w:t> </w:t>
      </w:r>
    </w:p>
    <w:p w14:paraId="201355E7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normaltextrun"/>
          <w:color w:val="000000"/>
        </w:rPr>
        <w:t>Elsen Jacob</w:t>
      </w:r>
      <w:r w:rsidRPr="006A7F4E">
        <w:rPr>
          <w:rStyle w:val="eop"/>
          <w:color w:val="000000"/>
        </w:rPr>
        <w:t> </w:t>
      </w:r>
    </w:p>
    <w:p w14:paraId="20D35217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Fonts w:eastAsiaTheme="minorHAnsi"/>
          <w:noProof/>
        </w:rPr>
        <w:drawing>
          <wp:inline distT="0" distB="0" distL="0" distR="0" wp14:anchorId="3045AD47" wp14:editId="7C154E03">
            <wp:extent cx="16764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F4E">
        <w:rPr>
          <w:rStyle w:val="eop"/>
        </w:rPr>
        <w:t> </w:t>
      </w:r>
    </w:p>
    <w:p w14:paraId="660107A8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normaltextrun"/>
          <w:color w:val="000000"/>
        </w:rPr>
        <w:t>Pavel Goriacko</w:t>
      </w:r>
      <w:r w:rsidRPr="006A7F4E">
        <w:rPr>
          <w:rStyle w:val="eop"/>
          <w:color w:val="000000"/>
        </w:rPr>
        <w:t> </w:t>
      </w:r>
    </w:p>
    <w:p w14:paraId="508FA6ED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Fonts w:eastAsiaTheme="minorHAnsi"/>
          <w:noProof/>
        </w:rPr>
        <w:drawing>
          <wp:inline distT="0" distB="0" distL="0" distR="0" wp14:anchorId="585EC565" wp14:editId="46C79AB8">
            <wp:extent cx="2324100" cy="1114425"/>
            <wp:effectExtent l="0" t="0" r="0" b="9525"/>
            <wp:docPr id="2" name="Picture 2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s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F4E">
        <w:rPr>
          <w:rStyle w:val="eop"/>
        </w:rPr>
        <w:t> </w:t>
      </w:r>
    </w:p>
    <w:p w14:paraId="3203A558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normaltextrun"/>
          <w:color w:val="000000"/>
        </w:rPr>
        <w:t>Jamie Chin-Hon</w:t>
      </w:r>
      <w:r w:rsidRPr="006A7F4E">
        <w:rPr>
          <w:rStyle w:val="eop"/>
          <w:color w:val="000000"/>
        </w:rPr>
        <w:t> </w:t>
      </w:r>
    </w:p>
    <w:p w14:paraId="50EAF33D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Fonts w:eastAsiaTheme="minorHAnsi"/>
          <w:noProof/>
        </w:rPr>
        <w:drawing>
          <wp:inline distT="0" distB="0" distL="0" distR="0" wp14:anchorId="72875550" wp14:editId="7C65545C">
            <wp:extent cx="1128499" cy="685800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16" cy="6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F4E">
        <w:rPr>
          <w:rStyle w:val="eop"/>
        </w:rPr>
        <w:t> </w:t>
      </w:r>
    </w:p>
    <w:p w14:paraId="608255EE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Style w:val="normaltextrun"/>
          <w:color w:val="000000"/>
        </w:rPr>
        <w:t>Toshiba Morgan-Joseph</w:t>
      </w:r>
      <w:r w:rsidRPr="006A7F4E">
        <w:rPr>
          <w:rStyle w:val="eop"/>
          <w:color w:val="000000"/>
        </w:rPr>
        <w:t> </w:t>
      </w:r>
    </w:p>
    <w:p w14:paraId="03278573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</w:pPr>
      <w:r w:rsidRPr="006A7F4E">
        <w:rPr>
          <w:rFonts w:eastAsiaTheme="minorHAnsi"/>
          <w:noProof/>
        </w:rPr>
        <w:drawing>
          <wp:inline distT="0" distB="0" distL="0" distR="0" wp14:anchorId="6A346304" wp14:editId="76C7838A">
            <wp:extent cx="2543175" cy="619125"/>
            <wp:effectExtent l="0" t="0" r="9525" b="9525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F4E">
        <w:rPr>
          <w:rStyle w:val="scxw216656207"/>
        </w:rPr>
        <w:t> </w:t>
      </w:r>
      <w:r w:rsidRPr="006A7F4E">
        <w:br/>
      </w:r>
      <w:r w:rsidRPr="006A7F4E">
        <w:rPr>
          <w:rStyle w:val="eop"/>
        </w:rPr>
        <w:t> </w:t>
      </w:r>
    </w:p>
    <w:p w14:paraId="1E37352B" w14:textId="77777777" w:rsidR="006A7F4E" w:rsidRPr="006A7F4E" w:rsidRDefault="006A7F4E" w:rsidP="006A7F4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6A7F4E">
        <w:rPr>
          <w:rStyle w:val="normaltextrun"/>
          <w:color w:val="000000"/>
          <w:sz w:val="18"/>
          <w:szCs w:val="18"/>
        </w:rPr>
        <w:t>References</w:t>
      </w:r>
      <w:r w:rsidRPr="006A7F4E">
        <w:rPr>
          <w:rStyle w:val="eop"/>
          <w:color w:val="000000"/>
          <w:sz w:val="18"/>
          <w:szCs w:val="18"/>
        </w:rPr>
        <w:t> </w:t>
      </w:r>
    </w:p>
    <w:p w14:paraId="46FF626D" w14:textId="77777777" w:rsidR="006A7F4E" w:rsidRPr="006A7F4E" w:rsidRDefault="006A7F4E" w:rsidP="006A7F4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18"/>
          <w:szCs w:val="18"/>
        </w:rPr>
      </w:pPr>
      <w:r w:rsidRPr="006A7F4E">
        <w:rPr>
          <w:rStyle w:val="normaltextrun"/>
          <w:color w:val="000000"/>
          <w:sz w:val="18"/>
          <w:szCs w:val="18"/>
        </w:rPr>
        <w:t xml:space="preserve">Cohen JJ, Gabriel BA, Terrell C. The case for diversity in the health care workforce. </w:t>
      </w:r>
      <w:r w:rsidRPr="006A7F4E">
        <w:rPr>
          <w:rStyle w:val="normaltextrun"/>
          <w:i/>
          <w:iCs/>
          <w:color w:val="000000"/>
          <w:sz w:val="18"/>
          <w:szCs w:val="18"/>
        </w:rPr>
        <w:t>Health Care Workforce.</w:t>
      </w:r>
      <w:r w:rsidRPr="006A7F4E">
        <w:rPr>
          <w:rStyle w:val="normaltextrun"/>
          <w:color w:val="000000"/>
          <w:sz w:val="18"/>
          <w:szCs w:val="18"/>
        </w:rPr>
        <w:t xml:space="preserve"> 2002;21(5):90-102.</w:t>
      </w:r>
      <w:r w:rsidRPr="006A7F4E">
        <w:rPr>
          <w:rStyle w:val="eop"/>
          <w:color w:val="000000"/>
          <w:sz w:val="18"/>
          <w:szCs w:val="18"/>
        </w:rPr>
        <w:t> </w:t>
      </w:r>
    </w:p>
    <w:p w14:paraId="4E6FDC18" w14:textId="77777777" w:rsidR="006A7F4E" w:rsidRPr="006A7F4E" w:rsidRDefault="006A7F4E" w:rsidP="006A7F4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18"/>
          <w:szCs w:val="18"/>
        </w:rPr>
      </w:pPr>
      <w:r w:rsidRPr="006A7F4E">
        <w:rPr>
          <w:rStyle w:val="normaltextrun"/>
          <w:color w:val="000000"/>
          <w:sz w:val="18"/>
          <w:szCs w:val="18"/>
        </w:rPr>
        <w:t xml:space="preserve">Jackson CS, </w:t>
      </w:r>
      <w:proofErr w:type="spellStart"/>
      <w:r w:rsidRPr="006A7F4E">
        <w:rPr>
          <w:rStyle w:val="normaltextrun"/>
          <w:color w:val="000000"/>
          <w:sz w:val="18"/>
          <w:szCs w:val="18"/>
        </w:rPr>
        <w:t>Gracia</w:t>
      </w:r>
      <w:proofErr w:type="spellEnd"/>
      <w:r w:rsidRPr="006A7F4E">
        <w:rPr>
          <w:rStyle w:val="normaltextrun"/>
          <w:color w:val="000000"/>
          <w:sz w:val="18"/>
          <w:szCs w:val="18"/>
        </w:rPr>
        <w:t xml:space="preserve"> JN. Addressing health and health-care disparities: the role of a diverse workforce and the social determinants of health. </w:t>
      </w:r>
      <w:r w:rsidRPr="006A7F4E">
        <w:rPr>
          <w:rStyle w:val="normaltextrun"/>
          <w:i/>
          <w:iCs/>
          <w:color w:val="000000"/>
          <w:sz w:val="18"/>
          <w:szCs w:val="18"/>
        </w:rPr>
        <w:t>Public Health Rep.</w:t>
      </w:r>
      <w:r w:rsidRPr="006A7F4E">
        <w:rPr>
          <w:rStyle w:val="normaltextrun"/>
          <w:color w:val="000000"/>
          <w:sz w:val="18"/>
          <w:szCs w:val="18"/>
        </w:rPr>
        <w:t xml:space="preserve"> (2014) 129(Suppl 2):57–61.</w:t>
      </w:r>
      <w:r w:rsidRPr="006A7F4E">
        <w:rPr>
          <w:rStyle w:val="eop"/>
          <w:color w:val="000000"/>
          <w:sz w:val="18"/>
          <w:szCs w:val="18"/>
        </w:rPr>
        <w:t> </w:t>
      </w:r>
    </w:p>
    <w:p w14:paraId="345B5F29" w14:textId="77777777" w:rsidR="006A7F4E" w:rsidRPr="006A7F4E" w:rsidRDefault="006A7F4E" w:rsidP="006A7F4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18"/>
          <w:szCs w:val="18"/>
        </w:rPr>
      </w:pPr>
      <w:r w:rsidRPr="006A7F4E">
        <w:rPr>
          <w:rStyle w:val="normaltextrun"/>
          <w:color w:val="000000"/>
          <w:sz w:val="18"/>
          <w:szCs w:val="18"/>
        </w:rPr>
        <w:t xml:space="preserve">Colby SL, </w:t>
      </w:r>
      <w:proofErr w:type="spellStart"/>
      <w:r w:rsidRPr="006A7F4E">
        <w:rPr>
          <w:rStyle w:val="normaltextrun"/>
          <w:color w:val="000000"/>
          <w:sz w:val="18"/>
          <w:szCs w:val="18"/>
        </w:rPr>
        <w:t>Ortman</w:t>
      </w:r>
      <w:proofErr w:type="spellEnd"/>
      <w:r w:rsidRPr="006A7F4E">
        <w:rPr>
          <w:rStyle w:val="normaltextrun"/>
          <w:color w:val="000000"/>
          <w:sz w:val="18"/>
          <w:szCs w:val="18"/>
        </w:rPr>
        <w:t xml:space="preserve"> JM. Projections of the Size and Composition of the U.S. Population: 2014 to 2060. Census.gov. Accessed January 21, 2022. </w:t>
      </w:r>
      <w:hyperlink r:id="rId9" w:tgtFrame="_blank" w:history="1">
        <w:r w:rsidRPr="006A7F4E">
          <w:rPr>
            <w:rStyle w:val="normaltextrun"/>
            <w:color w:val="0563C1"/>
            <w:sz w:val="18"/>
            <w:szCs w:val="18"/>
            <w:u w:val="single"/>
          </w:rPr>
          <w:t>https://www.census.gov/library/publications/2015/demo/p25-1143.html</w:t>
        </w:r>
      </w:hyperlink>
      <w:r w:rsidRPr="006A7F4E">
        <w:rPr>
          <w:rStyle w:val="normaltextrun"/>
          <w:color w:val="000000"/>
          <w:sz w:val="18"/>
          <w:szCs w:val="18"/>
        </w:rPr>
        <w:t> </w:t>
      </w:r>
      <w:r w:rsidRPr="006A7F4E">
        <w:rPr>
          <w:rStyle w:val="eop"/>
          <w:color w:val="000000"/>
          <w:sz w:val="18"/>
          <w:szCs w:val="18"/>
        </w:rPr>
        <w:t> </w:t>
      </w:r>
    </w:p>
    <w:p w14:paraId="305E6496" w14:textId="77777777" w:rsidR="006A7F4E" w:rsidRPr="006A7F4E" w:rsidRDefault="006A7F4E" w:rsidP="006A7F4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18"/>
          <w:szCs w:val="18"/>
        </w:rPr>
      </w:pPr>
      <w:r w:rsidRPr="006A7F4E">
        <w:rPr>
          <w:rStyle w:val="normaltextrun"/>
          <w:color w:val="000000"/>
          <w:sz w:val="18"/>
          <w:szCs w:val="18"/>
        </w:rPr>
        <w:t xml:space="preserve">Lebovitz L, </w:t>
      </w:r>
      <w:proofErr w:type="spellStart"/>
      <w:r w:rsidRPr="006A7F4E">
        <w:rPr>
          <w:rStyle w:val="normaltextrun"/>
          <w:color w:val="000000"/>
          <w:sz w:val="18"/>
          <w:szCs w:val="18"/>
        </w:rPr>
        <w:t>Swaan</w:t>
      </w:r>
      <w:proofErr w:type="spellEnd"/>
      <w:r w:rsidRPr="006A7F4E">
        <w:rPr>
          <w:rStyle w:val="normaltextrun"/>
          <w:color w:val="000000"/>
          <w:sz w:val="18"/>
          <w:szCs w:val="18"/>
        </w:rPr>
        <w:t xml:space="preserve"> PW, Eddington ND. Trends in research and graduate affairs in schools and colleges of pharmacy, part 3: underrepresented minorities. Am J Pharm Educ. 2020;84(5):7641.</w:t>
      </w:r>
      <w:r w:rsidRPr="006A7F4E">
        <w:rPr>
          <w:rStyle w:val="eop"/>
          <w:color w:val="000000"/>
          <w:sz w:val="18"/>
          <w:szCs w:val="18"/>
        </w:rPr>
        <w:t> </w:t>
      </w:r>
    </w:p>
    <w:p w14:paraId="78E3261E" w14:textId="77777777" w:rsidR="00477711" w:rsidRDefault="00477711"/>
    <w:sectPr w:rsidR="0047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6D51"/>
    <w:multiLevelType w:val="multilevel"/>
    <w:tmpl w:val="1ED066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A3DEC"/>
    <w:multiLevelType w:val="multilevel"/>
    <w:tmpl w:val="8F4E0D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32964"/>
    <w:multiLevelType w:val="multilevel"/>
    <w:tmpl w:val="3B6032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24CEB"/>
    <w:multiLevelType w:val="multilevel"/>
    <w:tmpl w:val="3DB83F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4E"/>
    <w:rsid w:val="00477711"/>
    <w:rsid w:val="006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BB92"/>
  <w15:chartTrackingRefBased/>
  <w15:docId w15:val="{87A610E5-AE97-42EA-98AF-D3C8883F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7F4E"/>
  </w:style>
  <w:style w:type="character" w:customStyle="1" w:styleId="eop">
    <w:name w:val="eop"/>
    <w:basedOn w:val="DefaultParagraphFont"/>
    <w:rsid w:val="006A7F4E"/>
  </w:style>
  <w:style w:type="character" w:customStyle="1" w:styleId="scxw216656207">
    <w:name w:val="scxw216656207"/>
    <w:basedOn w:val="DefaultParagraphFont"/>
    <w:rsid w:val="006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library/publications/2015/demo/p25-11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Harshal Shukla</dc:creator>
  <cp:keywords/>
  <dc:description/>
  <cp:lastModifiedBy>Harshal Shukla</cp:lastModifiedBy>
  <cp:revision>1</cp:revision>
  <dcterms:created xsi:type="dcterms:W3CDTF">2022-02-07T15:01:00Z</dcterms:created>
  <dcterms:modified xsi:type="dcterms:W3CDTF">2022-02-07T15:03:00Z</dcterms:modified>
</cp:coreProperties>
</file>