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Chapter: New York City Society of Health-system Pharmacists</w:t>
      </w:r>
    </w:p>
    <w:p w:rsidR="00000000" w:rsidDel="00000000" w:rsidP="00000000" w:rsidRDefault="00000000" w:rsidRPr="00000000" w14:paraId="0000000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Topic:</w:t>
      </w:r>
      <w:r w:rsidDel="00000000" w:rsidR="00000000" w:rsidRPr="00000000">
        <w:rPr>
          <w:rFonts w:ascii="Calibri" w:cs="Calibri" w:eastAsia="Calibri" w:hAnsi="Calibri"/>
          <w:b w:val="1"/>
          <w:sz w:val="24"/>
          <w:szCs w:val="24"/>
          <w:rtl w:val="0"/>
        </w:rPr>
        <w:t xml:space="preserve"> Active National Pharmacy Technician Certification as part of the registration renewal for </w:t>
      </w:r>
      <w:r w:rsidDel="00000000" w:rsidR="00000000" w:rsidRPr="00000000">
        <w:rPr>
          <w:rFonts w:ascii="Calibri" w:cs="Calibri" w:eastAsia="Calibri" w:hAnsi="Calibri"/>
          <w:b w:val="1"/>
          <w:sz w:val="24"/>
          <w:szCs w:val="24"/>
          <w:rtl w:val="0"/>
        </w:rPr>
        <w:t xml:space="preserve">New York State licensure as a registered pharmacy technician. </w:t>
      </w: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Sponsored by: Christa Clay, Rafael Roman, Lilia Davenport, Tamara Hernandez, Stephen Eng, Doreen Chiu, Thomas Frisco, Sebastian Choi, Zachary Hecox, Charrai Byrd, Amisha Arya, Erin Simms</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Title 8, Article 137-A, Section 6844 of New York’s Education Law and Part 63 of the Commissioner’s Regulations establish licensing and registration for pharmacy technicians in the State of New York, both regulations fail to acknowledge the renewal of said licensing, </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Pharmacy Technician Certification Board (PTCB) and the National Healthcareer Association (NHA) both have established guidelines for renewal, in that a technician is required to complete 20 continuing education credits (1 credit hour must be on the subject of pharmacy law and 1 credit hour must be on the subject of patient safety) every two (2) years, </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PTCB or NHA certification as a condition of registration renewal for pharmacy technicians New York State licensing establishes a continuing level of competency,</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This would set up future precedence for more advanced licensing and more established career ladders for pharmacy technicians; therefore be it </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Resolved That:</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York State Council of Health-system Pharmacists </w:t>
      </w:r>
      <w:r w:rsidDel="00000000" w:rsidR="00000000" w:rsidRPr="00000000">
        <w:rPr>
          <w:rFonts w:ascii="Calibri" w:cs="Calibri" w:eastAsia="Calibri" w:hAnsi="Calibri"/>
          <w:sz w:val="24"/>
          <w:szCs w:val="24"/>
          <w:rtl w:val="0"/>
        </w:rPr>
        <w:t xml:space="preserve">supports the requirement of an active PTCB or NHA CPhT certification for all pharmacy technicians renewing their New York State licensure as registered pharmacy technicians. </w:t>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1/12/2024</w:t>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w:t>
      </w:r>
    </w:p>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Rafael Roman, </w:t>
            </w:r>
            <w:r w:rsidDel="00000000" w:rsidR="00000000" w:rsidRPr="00000000">
              <w:rPr>
                <w:color w:val="222222"/>
                <w:highlight w:val="white"/>
                <w:rtl w:val="0"/>
              </w:rPr>
              <w:t xml:space="preserve">BA, CPhT, CSPT, RPhT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338263" cy="270747"/>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38263" cy="270747"/>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Christa Clay, CPhT-Adv, CVA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Satisfy" w:cs="Satisfy" w:eastAsia="Satisfy" w:hAnsi="Satisfy"/>
                <w:highlight w:val="white"/>
              </w:rPr>
            </w:pPr>
            <w:r w:rsidDel="00000000" w:rsidR="00000000" w:rsidRPr="00000000">
              <w:rPr>
                <w:rFonts w:ascii="Satisfy" w:cs="Satisfy" w:eastAsia="Satisfy" w:hAnsi="Satisfy"/>
                <w:highlight w:val="white"/>
                <w:rtl w:val="0"/>
              </w:rPr>
              <w:t xml:space="preserve">Christa Clay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Tamara Hernandez, PharmD, MA, MBA, BCPPS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642938" cy="272012"/>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42938" cy="272012"/>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rPr>
                <w:rFonts w:ascii="Calibri" w:cs="Calibri" w:eastAsia="Calibri" w:hAnsi="Calibri"/>
                <w:highlight w:val="white"/>
              </w:rPr>
            </w:pPr>
            <w:r w:rsidDel="00000000" w:rsidR="00000000" w:rsidRPr="00000000">
              <w:rPr>
                <w:rFonts w:ascii="Calibri" w:cs="Calibri" w:eastAsia="Calibri" w:hAnsi="Calibri"/>
                <w:color w:val="333333"/>
                <w:sz w:val="24"/>
                <w:szCs w:val="24"/>
                <w:rtl w:val="0"/>
              </w:rPr>
              <w:t xml:space="preserve">Lilia Davenport, PharmD, BCPS, BCOP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656839" cy="289322"/>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56839" cy="289322"/>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rPr>
                <w:rFonts w:ascii="Calibri" w:cs="Calibri" w:eastAsia="Calibri" w:hAnsi="Calibri"/>
                <w:highlight w:val="white"/>
              </w:rPr>
            </w:pPr>
            <w:r w:rsidDel="00000000" w:rsidR="00000000" w:rsidRPr="00000000">
              <w:rPr>
                <w:rFonts w:ascii="Calibri" w:cs="Calibri" w:eastAsia="Calibri" w:hAnsi="Calibri"/>
                <w:color w:val="333333"/>
                <w:sz w:val="24"/>
                <w:szCs w:val="24"/>
                <w:rtl w:val="0"/>
              </w:rPr>
              <w:t xml:space="preserve">Doreen Chiu, PharmD, BCPS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58764" cy="301278"/>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58764" cy="301278"/>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color w:val="333333"/>
                <w:rtl w:val="0"/>
              </w:rPr>
              <w:t xml:space="preserve">Thomas Frisco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2838450" cy="330200"/>
                  <wp:effectExtent b="0" l="0" r="0" t="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838450" cy="330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highlight w:val="white"/>
              </w:rPr>
            </w:pPr>
            <w:r w:rsidDel="00000000" w:rsidR="00000000" w:rsidRPr="00000000">
              <w:rPr>
                <w:rFonts w:ascii="Calibri" w:cs="Calibri" w:eastAsia="Calibri" w:hAnsi="Calibri"/>
                <w:color w:val="333333"/>
                <w:rtl w:val="0"/>
              </w:rPr>
              <w:t xml:space="preserve">Stephen Eng, PharmD, BCOP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413676" cy="458825"/>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13676" cy="4588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Sebastian Choi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395413" cy="661529"/>
                  <wp:effectExtent b="0" l="0" r="0" t="0"/>
                  <wp:docPr id="9"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395413" cy="661529"/>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Zachary Hecox, </w:t>
            </w:r>
            <w:r w:rsidDel="00000000" w:rsidR="00000000" w:rsidRPr="00000000">
              <w:rPr>
                <w:rFonts w:ascii="Calibri" w:cs="Calibri" w:eastAsia="Calibri" w:hAnsi="Calibri"/>
                <w:color w:val="333333"/>
                <w:sz w:val="24"/>
                <w:szCs w:val="24"/>
                <w:highlight w:val="white"/>
                <w:rtl w:val="0"/>
              </w:rPr>
              <w:t xml:space="preserve">PharmD, CACP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2771775" cy="695325"/>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771775" cy="6953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Amisha Arya, PharmD, BCSCP, CJCP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052513" cy="538495"/>
                  <wp:effectExtent b="0" l="0" r="0" t="0"/>
                  <wp:docPr id="10"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052513" cy="53849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Charrai Byrd, PharmD, MBA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2614613" cy="485775"/>
                      <wp:effectExtent b="0" l="0" r="0" t="0"/>
                      <wp:docPr id="1" name=""/>
                      <a:graphic>
                        <a:graphicData uri="http://schemas.microsoft.com/office/word/2010/wordprocessingGroup">
                          <wpg:wgp>
                            <wpg:cNvGrpSpPr/>
                            <wpg:grpSpPr>
                              <a:xfrm>
                                <a:off x="1217975" y="1201375"/>
                                <a:ext cx="2614613" cy="485775"/>
                                <a:chOff x="1217975" y="1201375"/>
                                <a:chExt cx="3838775" cy="1679575"/>
                              </a:xfrm>
                            </wpg:grpSpPr>
                            <wps:wsp>
                              <wps:cNvSpPr/>
                              <wps:cNvPr id="2" name="Shape 2"/>
                              <wps:spPr>
                                <a:xfrm>
                                  <a:off x="1222146" y="1205179"/>
                                  <a:ext cx="2420450" cy="1334400"/>
                                </a:xfrm>
                                <a:custGeom>
                                  <a:rect b="b" l="l" r="r" t="t"/>
                                  <a:pathLst>
                                    <a:path extrusionOk="0" h="53376" w="96818">
                                      <a:moveTo>
                                        <a:pt x="57189" y="7032"/>
                                      </a:moveTo>
                                      <a:cubicBezTo>
                                        <a:pt x="50116" y="7032"/>
                                        <a:pt x="42475" y="3846"/>
                                        <a:pt x="35974" y="6632"/>
                                      </a:cubicBezTo>
                                      <a:cubicBezTo>
                                        <a:pt x="19345" y="13759"/>
                                        <a:pt x="-5569" y="31464"/>
                                        <a:pt x="1150" y="48262"/>
                                      </a:cubicBezTo>
                                      <a:cubicBezTo>
                                        <a:pt x="3842" y="54993"/>
                                        <a:pt x="16391" y="54116"/>
                                        <a:pt x="22765" y="50663"/>
                                      </a:cubicBezTo>
                                      <a:cubicBezTo>
                                        <a:pt x="31154" y="46119"/>
                                        <a:pt x="37488" y="38441"/>
                                        <a:pt x="43980" y="31450"/>
                                      </a:cubicBezTo>
                                      <a:cubicBezTo>
                                        <a:pt x="47086" y="28105"/>
                                        <a:pt x="50086" y="24584"/>
                                        <a:pt x="52386" y="20642"/>
                                      </a:cubicBezTo>
                                      <a:cubicBezTo>
                                        <a:pt x="61353" y="5270"/>
                                        <a:pt x="50242" y="23136"/>
                                        <a:pt x="55188" y="14237"/>
                                      </a:cubicBezTo>
                                      <a:cubicBezTo>
                                        <a:pt x="55538" y="13606"/>
                                        <a:pt x="56201" y="12348"/>
                                        <a:pt x="55989" y="13037"/>
                                      </a:cubicBezTo>
                                      <a:cubicBezTo>
                                        <a:pt x="53533" y="21021"/>
                                        <a:pt x="48899" y="28184"/>
                                        <a:pt x="44781" y="35452"/>
                                      </a:cubicBezTo>
                                      <a:cubicBezTo>
                                        <a:pt x="42557" y="39377"/>
                                        <a:pt x="41607" y="41972"/>
                                        <a:pt x="41578" y="41857"/>
                                      </a:cubicBezTo>
                                      <a:cubicBezTo>
                                        <a:pt x="38811" y="30798"/>
                                        <a:pt x="48026" y="19786"/>
                                        <a:pt x="53587" y="9834"/>
                                      </a:cubicBezTo>
                                      <a:cubicBezTo>
                                        <a:pt x="55429" y="6537"/>
                                        <a:pt x="56120" y="-1261"/>
                                        <a:pt x="59591" y="227"/>
                                      </a:cubicBezTo>
                                      <a:cubicBezTo>
                                        <a:pt x="63401" y="1860"/>
                                        <a:pt x="64055" y="7214"/>
                                        <a:pt x="66396" y="10635"/>
                                      </a:cubicBezTo>
                                      <a:cubicBezTo>
                                        <a:pt x="68973" y="14402"/>
                                        <a:pt x="69262" y="14189"/>
                                        <a:pt x="72000" y="17840"/>
                                      </a:cubicBezTo>
                                      <a:cubicBezTo>
                                        <a:pt x="73466" y="19794"/>
                                        <a:pt x="73418" y="19830"/>
                                        <a:pt x="74802" y="21843"/>
                                      </a:cubicBezTo>
                                      <a:cubicBezTo>
                                        <a:pt x="76089" y="23715"/>
                                        <a:pt x="77802" y="25695"/>
                                        <a:pt x="80006" y="26246"/>
                                      </a:cubicBezTo>
                                      <a:cubicBezTo>
                                        <a:pt x="81234" y="26553"/>
                                        <a:pt x="84871" y="27363"/>
                                        <a:pt x="83608" y="27447"/>
                                      </a:cubicBezTo>
                                      <a:cubicBezTo>
                                        <a:pt x="76950" y="27892"/>
                                        <a:pt x="70211" y="27909"/>
                                        <a:pt x="63594" y="27046"/>
                                      </a:cubicBezTo>
                                      <a:cubicBezTo>
                                        <a:pt x="62169" y="26860"/>
                                        <a:pt x="58575" y="26461"/>
                                        <a:pt x="59591" y="25445"/>
                                      </a:cubicBezTo>
                                      <a:cubicBezTo>
                                        <a:pt x="68494" y="16542"/>
                                        <a:pt x="84227" y="19041"/>
                                        <a:pt x="96818" y="1904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802000" y="1353145"/>
                                  <a:ext cx="2251575" cy="1523750"/>
                                </a:xfrm>
                                <a:custGeom>
                                  <a:rect b="b" l="l" r="r" t="t"/>
                                  <a:pathLst>
                                    <a:path extrusionOk="0" h="60950" w="90063">
                                      <a:moveTo>
                                        <a:pt x="17212" y="6317"/>
                                      </a:moveTo>
                                      <a:cubicBezTo>
                                        <a:pt x="13021" y="16944"/>
                                        <a:pt x="8762" y="27554"/>
                                        <a:pt x="4003" y="37939"/>
                                      </a:cubicBezTo>
                                      <a:cubicBezTo>
                                        <a:pt x="2578" y="41048"/>
                                        <a:pt x="2760" y="41126"/>
                                        <a:pt x="1601" y="44344"/>
                                      </a:cubicBezTo>
                                      <a:cubicBezTo>
                                        <a:pt x="1072" y="45813"/>
                                        <a:pt x="0" y="50309"/>
                                        <a:pt x="0" y="48747"/>
                                      </a:cubicBezTo>
                                      <a:cubicBezTo>
                                        <a:pt x="0" y="31576"/>
                                        <a:pt x="3324" y="6545"/>
                                        <a:pt x="19614" y="1113"/>
                                      </a:cubicBezTo>
                                      <a:cubicBezTo>
                                        <a:pt x="24808" y="-619"/>
                                        <a:pt x="33724" y="8479"/>
                                        <a:pt x="30822" y="13122"/>
                                      </a:cubicBezTo>
                                      <a:cubicBezTo>
                                        <a:pt x="29177" y="15754"/>
                                        <a:pt x="25333" y="16064"/>
                                        <a:pt x="22416" y="17125"/>
                                      </a:cubicBezTo>
                                      <a:cubicBezTo>
                                        <a:pt x="21014" y="17635"/>
                                        <a:pt x="16535" y="18136"/>
                                        <a:pt x="18012" y="17925"/>
                                      </a:cubicBezTo>
                                      <a:cubicBezTo>
                                        <a:pt x="25942" y="16793"/>
                                        <a:pt x="34592" y="14151"/>
                                        <a:pt x="42030" y="17125"/>
                                      </a:cubicBezTo>
                                      <a:cubicBezTo>
                                        <a:pt x="43640" y="17769"/>
                                        <a:pt x="43580" y="20253"/>
                                        <a:pt x="44031" y="21928"/>
                                      </a:cubicBezTo>
                                      <a:cubicBezTo>
                                        <a:pt x="48257" y="37624"/>
                                        <a:pt x="30223" y="59198"/>
                                        <a:pt x="14010" y="60355"/>
                                      </a:cubicBezTo>
                                      <a:cubicBezTo>
                                        <a:pt x="12546" y="60459"/>
                                        <a:pt x="10421" y="61576"/>
                                        <a:pt x="9607" y="60355"/>
                                      </a:cubicBezTo>
                                      <a:cubicBezTo>
                                        <a:pt x="4046" y="52014"/>
                                        <a:pt x="13971" y="37413"/>
                                        <a:pt x="23216" y="33536"/>
                                      </a:cubicBezTo>
                                      <a:cubicBezTo>
                                        <a:pt x="27188" y="31870"/>
                                        <a:pt x="31539" y="28572"/>
                                        <a:pt x="35625" y="29934"/>
                                      </a:cubicBezTo>
                                      <a:cubicBezTo>
                                        <a:pt x="38231" y="30803"/>
                                        <a:pt x="40104" y="33596"/>
                                        <a:pt x="42830" y="33937"/>
                                      </a:cubicBezTo>
                                      <a:cubicBezTo>
                                        <a:pt x="45481" y="34269"/>
                                        <a:pt x="48415" y="34666"/>
                                        <a:pt x="50836" y="33536"/>
                                      </a:cubicBezTo>
                                      <a:cubicBezTo>
                                        <a:pt x="53160" y="32452"/>
                                        <a:pt x="54144" y="29159"/>
                                        <a:pt x="54438" y="30334"/>
                                      </a:cubicBezTo>
                                      <a:cubicBezTo>
                                        <a:pt x="56493" y="38558"/>
                                        <a:pt x="47567" y="46008"/>
                                        <a:pt x="42430" y="52750"/>
                                      </a:cubicBezTo>
                                      <a:cubicBezTo>
                                        <a:pt x="41734" y="53663"/>
                                        <a:pt x="40791" y="56641"/>
                                        <a:pt x="40428" y="55552"/>
                                      </a:cubicBezTo>
                                      <a:cubicBezTo>
                                        <a:pt x="37811" y="47703"/>
                                        <a:pt x="47478" y="37298"/>
                                        <a:pt x="55639" y="35938"/>
                                      </a:cubicBezTo>
                                      <a:cubicBezTo>
                                        <a:pt x="62615" y="34776"/>
                                        <a:pt x="71532" y="40595"/>
                                        <a:pt x="76854" y="35938"/>
                                      </a:cubicBezTo>
                                      <a:cubicBezTo>
                                        <a:pt x="86036" y="27903"/>
                                        <a:pt x="96174" y="5767"/>
                                        <a:pt x="85260" y="313"/>
                                      </a:cubicBezTo>
                                      <a:cubicBezTo>
                                        <a:pt x="81622" y="-1505"/>
                                        <a:pt x="78694" y="5716"/>
                                        <a:pt x="77255" y="9519"/>
                                      </a:cubicBezTo>
                                      <a:cubicBezTo>
                                        <a:pt x="73886" y="18422"/>
                                        <a:pt x="71440" y="28909"/>
                                        <a:pt x="74453" y="3793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614613" cy="485775"/>
                      <wp:effectExtent b="0" l="0" r="0" t="0"/>
                      <wp:docPr id="1"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614613" cy="485775"/>
                              </a:xfrm>
                              <a:prstGeom prst="rect"/>
                              <a:ln/>
                            </pic:spPr>
                          </pic:pic>
                        </a:graphicData>
                      </a:graphic>
                    </wp:inline>
                  </w:drawing>
                </mc:Fallback>
              </mc:AlternateContent>
            </w: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Erin Simms, PharmD, BCPPS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Lobster" w:cs="Lobster" w:eastAsia="Lobster" w:hAnsi="Lobster"/>
              </w:rPr>
            </w:pPr>
            <w:r w:rsidDel="00000000" w:rsidR="00000000" w:rsidRPr="00000000">
              <w:rPr>
                <w:rFonts w:ascii="Lobster" w:cs="Lobster" w:eastAsia="Lobster" w:hAnsi="Lobster"/>
                <w:rtl w:val="0"/>
              </w:rPr>
              <w:t xml:space="preserve">Erin Simms</w:t>
            </w:r>
          </w:p>
        </w:tc>
      </w:tr>
    </w:tbl>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w:t>
      </w:r>
    </w:p>
    <w:p w:rsidR="00000000" w:rsidDel="00000000" w:rsidP="00000000" w:rsidRDefault="00000000" w:rsidRPr="00000000" w14:paraId="0000003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https://www.nhanow.com/pharmacy-technician-(cpht)-renewal</w:t>
        </w:r>
      </w:hyperlink>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https://www.ptcb.org/continuing-education</w:t>
        </w:r>
      </w:hyperlink>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u w:val="single"/>
            <w:rtl w:val="0"/>
          </w:rPr>
          <w:t xml:space="preserve">https://www.op.nysed.gov/professions/registered-pharmacy-technicians/laws-rules-regulations/article-137a</w:t>
        </w:r>
      </w:hyperlink>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https://www.op.nysed.gov/professions/registered-pharmacy-technicians/laws-rules-regulations/part-63</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bster">
    <w:embedRegular w:fontKey="{00000000-0000-0000-0000-000000000000}" r:id="rId1" w:subsetted="0"/>
  </w:font>
  <w:font w:name="Satisfy">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hyperlink" Target="https://www.ptcb.org/continuing-education" TargetMode="External"/><Relationship Id="rId16" Type="http://schemas.openxmlformats.org/officeDocument/2006/relationships/hyperlink" Target="https://www.nhanow.com/pharmacy-technician-(cpht)-renewal" TargetMode="External"/><Relationship Id="rId5" Type="http://schemas.openxmlformats.org/officeDocument/2006/relationships/styles" Target="styles.xml"/><Relationship Id="rId19" Type="http://schemas.openxmlformats.org/officeDocument/2006/relationships/hyperlink" Target="https://www.op.nysed.gov/professions/registered-pharmacy-technicians/laws-rules-regulations/part-63" TargetMode="External"/><Relationship Id="rId6" Type="http://schemas.openxmlformats.org/officeDocument/2006/relationships/image" Target="media/image3.png"/><Relationship Id="rId18" Type="http://schemas.openxmlformats.org/officeDocument/2006/relationships/hyperlink" Target="https://www.op.nysed.gov/professions/registered-pharmacy-technicians/laws-rules-regulations/article-137a" TargetMode="External"/><Relationship Id="rId7" Type="http://schemas.openxmlformats.org/officeDocument/2006/relationships/image" Target="media/image7.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Satisf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