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FE" w:rsidRPr="00DF72F5" w:rsidRDefault="00C471FE" w:rsidP="002421CF">
      <w:pPr>
        <w:jc w:val="center"/>
      </w:pPr>
      <w:bookmarkStart w:id="0" w:name="_GoBack"/>
      <w:bookmarkEnd w:id="0"/>
    </w:p>
    <w:p w:rsidR="002421CF" w:rsidRPr="00DF72F5" w:rsidRDefault="002421CF" w:rsidP="002421CF">
      <w:pPr>
        <w:jc w:val="center"/>
      </w:pPr>
    </w:p>
    <w:p w:rsidR="002421CF" w:rsidRPr="00DF72F5" w:rsidRDefault="00AC3ECC" w:rsidP="002421CF">
      <w:pPr>
        <w:jc w:val="center"/>
      </w:pPr>
      <w:r>
        <w:rPr>
          <w:noProof/>
        </w:rPr>
        <w:drawing>
          <wp:inline distT="0" distB="0" distL="0" distR="0">
            <wp:extent cx="1542415" cy="1260475"/>
            <wp:effectExtent l="0" t="0" r="635" b="0"/>
            <wp:docPr id="1" name="Pictur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415" cy="1260475"/>
                    </a:xfrm>
                    <a:prstGeom prst="rect">
                      <a:avLst/>
                    </a:prstGeom>
                    <a:noFill/>
                    <a:ln>
                      <a:noFill/>
                    </a:ln>
                  </pic:spPr>
                </pic:pic>
              </a:graphicData>
            </a:graphic>
          </wp:inline>
        </w:drawing>
      </w:r>
    </w:p>
    <w:p w:rsidR="002421CF" w:rsidRPr="00DF72F5" w:rsidRDefault="002421CF" w:rsidP="002421CF">
      <w:pPr>
        <w:jc w:val="center"/>
      </w:pPr>
    </w:p>
    <w:p w:rsidR="002421CF" w:rsidRPr="002421CF" w:rsidRDefault="002421CF" w:rsidP="002421CF">
      <w:pPr>
        <w:pStyle w:val="Heading1"/>
        <w:rPr>
          <w:rFonts w:ascii="Arial" w:hAnsi="Arial" w:cs="Arial"/>
        </w:rPr>
      </w:pPr>
    </w:p>
    <w:p w:rsidR="002421CF" w:rsidRPr="002421CF" w:rsidRDefault="002421CF" w:rsidP="002421CF">
      <w:pPr>
        <w:pStyle w:val="Heading1"/>
        <w:rPr>
          <w:rFonts w:ascii="Arial" w:hAnsi="Arial" w:cs="Arial"/>
        </w:rPr>
      </w:pPr>
      <w:r w:rsidRPr="002421CF">
        <w:rPr>
          <w:rFonts w:ascii="Arial" w:hAnsi="Arial" w:cs="Arial"/>
        </w:rPr>
        <w:t>New York State Council of Health-system Pharmacists</w:t>
      </w: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A94882" w:rsidRPr="00A94882" w:rsidRDefault="00A94882" w:rsidP="00A94882">
      <w:pPr>
        <w:jc w:val="center"/>
        <w:rPr>
          <w:rFonts w:ascii="Arial" w:hAnsi="Arial" w:cs="Arial"/>
          <w:b/>
          <w:bCs/>
          <w:iCs/>
        </w:rPr>
      </w:pPr>
      <w:r w:rsidRPr="00A94882">
        <w:rPr>
          <w:rFonts w:ascii="Arial" w:hAnsi="Arial" w:cs="Arial"/>
          <w:b/>
        </w:rPr>
        <w:t xml:space="preserve">REPORT OF </w:t>
      </w:r>
      <w:r w:rsidRPr="00A94882">
        <w:rPr>
          <w:rFonts w:ascii="Arial" w:hAnsi="Arial" w:cs="Arial"/>
          <w:b/>
          <w:bCs/>
          <w:iCs/>
        </w:rPr>
        <w:t>PHARMACY PRACTICE</w:t>
      </w:r>
    </w:p>
    <w:p w:rsidR="002421CF" w:rsidRPr="002421CF" w:rsidRDefault="002421CF" w:rsidP="00C471FE">
      <w:pPr>
        <w:jc w:val="center"/>
        <w:rPr>
          <w:rFonts w:ascii="Arial" w:hAnsi="Arial" w:cs="Arial"/>
          <w:b/>
        </w:rPr>
      </w:pPr>
      <w:r w:rsidRPr="002421CF">
        <w:rPr>
          <w:rFonts w:ascii="Arial" w:hAnsi="Arial" w:cs="Arial"/>
          <w:b/>
        </w:rPr>
        <w:t xml:space="preserve"> </w:t>
      </w:r>
    </w:p>
    <w:p w:rsidR="002421CF" w:rsidRPr="002421CF" w:rsidRDefault="002421CF" w:rsidP="002421CF">
      <w:pPr>
        <w:jc w:val="center"/>
        <w:rPr>
          <w:rFonts w:ascii="Arial" w:hAnsi="Arial" w:cs="Arial"/>
        </w:rPr>
      </w:pPr>
    </w:p>
    <w:p w:rsidR="002421CF" w:rsidRPr="002421CF" w:rsidRDefault="00A94882" w:rsidP="002421CF">
      <w:pPr>
        <w:jc w:val="center"/>
        <w:rPr>
          <w:rFonts w:ascii="Arial" w:hAnsi="Arial" w:cs="Arial"/>
        </w:rPr>
      </w:pPr>
      <w:r>
        <w:rPr>
          <w:rFonts w:ascii="Arial" w:hAnsi="Arial" w:cs="Arial"/>
        </w:rPr>
        <w:t xml:space="preserve">Robert DiGregorio, Director of Pharmacy Practice </w:t>
      </w:r>
    </w:p>
    <w:p w:rsidR="002421CF" w:rsidRPr="002421CF" w:rsidRDefault="002421CF" w:rsidP="002421CF">
      <w:pPr>
        <w:jc w:val="center"/>
        <w:rPr>
          <w:rFonts w:ascii="Arial" w:hAnsi="Arial" w:cs="Arial"/>
        </w:rPr>
      </w:pPr>
    </w:p>
    <w:p w:rsidR="002421CF" w:rsidRPr="002421CF" w:rsidRDefault="0074141F" w:rsidP="002421CF">
      <w:pPr>
        <w:jc w:val="center"/>
        <w:rPr>
          <w:rFonts w:ascii="Arial" w:hAnsi="Arial" w:cs="Arial"/>
        </w:rPr>
      </w:pPr>
      <w:r>
        <w:rPr>
          <w:rFonts w:ascii="Arial" w:hAnsi="Arial" w:cs="Arial"/>
        </w:rPr>
        <w:t>April 28</w:t>
      </w:r>
      <w:r w:rsidR="00A94882">
        <w:rPr>
          <w:rFonts w:ascii="Arial" w:hAnsi="Arial" w:cs="Arial"/>
        </w:rPr>
        <w:t>, 201</w:t>
      </w:r>
      <w:r>
        <w:rPr>
          <w:rFonts w:ascii="Arial" w:hAnsi="Arial" w:cs="Arial"/>
        </w:rPr>
        <w:t>6</w:t>
      </w:r>
    </w:p>
    <w:p w:rsidR="002421CF" w:rsidRPr="002421CF" w:rsidRDefault="0074141F" w:rsidP="002421CF">
      <w:pPr>
        <w:jc w:val="center"/>
        <w:rPr>
          <w:rFonts w:ascii="Arial" w:hAnsi="Arial" w:cs="Arial"/>
        </w:rPr>
      </w:pPr>
      <w:r>
        <w:rPr>
          <w:rFonts w:ascii="Arial" w:hAnsi="Arial" w:cs="Arial"/>
        </w:rPr>
        <w:t>Saratoga Springs</w:t>
      </w:r>
      <w:r w:rsidR="002421CF" w:rsidRPr="002421CF">
        <w:rPr>
          <w:rFonts w:ascii="Arial" w:hAnsi="Arial" w:cs="Arial"/>
        </w:rPr>
        <w:t>, New York</w:t>
      </w: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AC3ECC" w:rsidP="002421CF">
      <w:pPr>
        <w:jc w:val="center"/>
        <w:rPr>
          <w:rFonts w:ascii="Arial" w:hAnsi="Arial" w:cs="Arial"/>
        </w:rPr>
      </w:pPr>
      <w:r>
        <w:rPr>
          <w:noProof/>
        </w:rPr>
        <w:drawing>
          <wp:anchor distT="36576" distB="36576" distL="36576" distR="36576" simplePos="0" relativeHeight="251656192" behindDoc="0" locked="0" layoutInCell="1" allowOverlap="1">
            <wp:simplePos x="0" y="0"/>
            <wp:positionH relativeFrom="column">
              <wp:posOffset>3965575</wp:posOffset>
            </wp:positionH>
            <wp:positionV relativeFrom="paragraph">
              <wp:posOffset>132715</wp:posOffset>
            </wp:positionV>
            <wp:extent cx="1350010" cy="1071245"/>
            <wp:effectExtent l="0" t="0" r="2540" b="0"/>
            <wp:wrapNone/>
            <wp:docPr id="6"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010" cy="107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simplePos x="0" y="0"/>
            <wp:positionH relativeFrom="column">
              <wp:posOffset>1945005</wp:posOffset>
            </wp:positionH>
            <wp:positionV relativeFrom="paragraph">
              <wp:posOffset>89535</wp:posOffset>
            </wp:positionV>
            <wp:extent cx="1350010" cy="1071245"/>
            <wp:effectExtent l="0" t="0" r="2540" b="0"/>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010" cy="107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simplePos x="0" y="0"/>
            <wp:positionH relativeFrom="column">
              <wp:posOffset>5683250</wp:posOffset>
            </wp:positionH>
            <wp:positionV relativeFrom="paragraph">
              <wp:posOffset>139065</wp:posOffset>
            </wp:positionV>
            <wp:extent cx="1350010" cy="1071245"/>
            <wp:effectExtent l="0" t="0" r="2540" b="0"/>
            <wp:wrapNone/>
            <wp:docPr id="4" name="Picture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010" cy="107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simplePos x="0" y="0"/>
            <wp:positionH relativeFrom="column">
              <wp:posOffset>49530</wp:posOffset>
            </wp:positionH>
            <wp:positionV relativeFrom="paragraph">
              <wp:posOffset>112395</wp:posOffset>
            </wp:positionV>
            <wp:extent cx="1350010" cy="1071245"/>
            <wp:effectExtent l="0" t="0" r="2540" b="0"/>
            <wp:wrapNone/>
            <wp:docPr id="5" name="Picture 5"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010" cy="107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i/>
        </w:rPr>
      </w:pPr>
    </w:p>
    <w:p w:rsidR="002421CF" w:rsidRPr="002421CF" w:rsidRDefault="002421CF" w:rsidP="002421CF">
      <w:pPr>
        <w:autoSpaceDE w:val="0"/>
        <w:autoSpaceDN w:val="0"/>
        <w:adjustRightInd w:val="0"/>
        <w:rPr>
          <w:rFonts w:ascii="Arial" w:hAnsi="Arial" w:cs="Arial"/>
          <w:i/>
        </w:rPr>
      </w:pPr>
      <w:r w:rsidRPr="002421CF">
        <w:rPr>
          <w:rFonts w:ascii="Arial" w:hAnsi="Arial" w:cs="Arial"/>
          <w:i/>
        </w:rPr>
        <w:t xml:space="preserve">This report is for consideration by the </w:t>
      </w:r>
      <w:smartTag w:uri="urn:schemas-microsoft-com:office:smarttags" w:element="place">
        <w:smartTag w:uri="urn:schemas-microsoft-com:office:smarttags" w:element="PlaceName">
          <w:r w:rsidRPr="002421CF">
            <w:rPr>
              <w:rFonts w:ascii="Arial" w:hAnsi="Arial" w:cs="Arial"/>
              <w:i/>
            </w:rPr>
            <w:t>New York</w:t>
          </w:r>
        </w:smartTag>
        <w:r w:rsidRPr="002421CF">
          <w:rPr>
            <w:rFonts w:ascii="Arial" w:hAnsi="Arial" w:cs="Arial"/>
            <w:i/>
          </w:rPr>
          <w:t xml:space="preserve"> </w:t>
        </w:r>
        <w:smartTag w:uri="urn:schemas-microsoft-com:office:smarttags" w:element="PlaceType">
          <w:r w:rsidRPr="002421CF">
            <w:rPr>
              <w:rFonts w:ascii="Arial" w:hAnsi="Arial" w:cs="Arial"/>
              <w:i/>
            </w:rPr>
            <w:t>State</w:t>
          </w:r>
        </w:smartTag>
      </w:smartTag>
      <w:r w:rsidRPr="002421CF">
        <w:rPr>
          <w:rFonts w:ascii="Arial" w:hAnsi="Arial" w:cs="Arial"/>
          <w:i/>
        </w:rPr>
        <w:t xml:space="preserve"> Council of Health-system Pharmacists House of Delegates only and does not represent official policy until approved the House of Delegates.</w:t>
      </w:r>
    </w:p>
    <w:p w:rsidR="002421CF" w:rsidRDefault="002421CF" w:rsidP="000954FB">
      <w:pPr>
        <w:jc w:val="center"/>
        <w:outlineLvl w:val="0"/>
        <w:rPr>
          <w:rFonts w:ascii="Arial" w:hAnsi="Arial"/>
          <w:sz w:val="22"/>
          <w:szCs w:val="22"/>
        </w:rPr>
      </w:pPr>
    </w:p>
    <w:p w:rsidR="00C471FE" w:rsidRDefault="00C471FE" w:rsidP="000954FB">
      <w:pPr>
        <w:jc w:val="center"/>
        <w:outlineLvl w:val="0"/>
        <w:rPr>
          <w:rFonts w:ascii="Arial" w:hAnsi="Arial"/>
          <w:sz w:val="22"/>
          <w:szCs w:val="22"/>
        </w:rPr>
      </w:pPr>
    </w:p>
    <w:p w:rsidR="002421CF" w:rsidRDefault="002421CF" w:rsidP="000954FB">
      <w:pPr>
        <w:jc w:val="center"/>
        <w:outlineLvl w:val="0"/>
        <w:rPr>
          <w:rFonts w:ascii="Arial" w:hAnsi="Arial"/>
          <w:sz w:val="22"/>
          <w:szCs w:val="22"/>
        </w:rPr>
      </w:pPr>
    </w:p>
    <w:p w:rsidR="002421CF" w:rsidRDefault="002421CF" w:rsidP="000954FB">
      <w:pPr>
        <w:jc w:val="center"/>
        <w:outlineLvl w:val="0"/>
        <w:rPr>
          <w:rFonts w:ascii="Arial" w:hAnsi="Arial"/>
          <w:sz w:val="22"/>
          <w:szCs w:val="22"/>
        </w:rPr>
      </w:pPr>
    </w:p>
    <w:p w:rsidR="000444A8" w:rsidRDefault="000444A8" w:rsidP="000954FB">
      <w:pPr>
        <w:numPr>
          <w:ilvl w:val="0"/>
          <w:numId w:val="3"/>
        </w:numPr>
        <w:autoSpaceDE w:val="0"/>
        <w:autoSpaceDN w:val="0"/>
        <w:adjustRightInd w:val="0"/>
        <w:rPr>
          <w:rFonts w:ascii="Arial" w:hAnsi="Arial" w:cs="Arial"/>
          <w:b/>
          <w:bCs/>
          <w:color w:val="000000"/>
          <w:sz w:val="22"/>
          <w:szCs w:val="22"/>
        </w:rPr>
      </w:pPr>
      <w:r w:rsidRPr="000954FB">
        <w:rPr>
          <w:rFonts w:ascii="Arial" w:hAnsi="Arial" w:cs="Arial"/>
          <w:b/>
          <w:bCs/>
          <w:color w:val="000000"/>
          <w:sz w:val="22"/>
          <w:szCs w:val="22"/>
        </w:rPr>
        <w:t xml:space="preserve">Responsibility of the Division </w:t>
      </w:r>
    </w:p>
    <w:p w:rsidR="000954FB" w:rsidRPr="000954FB" w:rsidRDefault="000954FB" w:rsidP="000954FB">
      <w:pPr>
        <w:autoSpaceDE w:val="0"/>
        <w:autoSpaceDN w:val="0"/>
        <w:adjustRightInd w:val="0"/>
        <w:rPr>
          <w:rFonts w:ascii="Arial" w:hAnsi="Arial" w:cs="Arial"/>
          <w:color w:val="000000"/>
          <w:sz w:val="22"/>
          <w:szCs w:val="22"/>
        </w:rPr>
      </w:pPr>
    </w:p>
    <w:p w:rsidR="00A94882" w:rsidRPr="00F75844" w:rsidRDefault="00A94882" w:rsidP="00A94882">
      <w:pPr>
        <w:overflowPunct w:val="0"/>
        <w:autoSpaceDE w:val="0"/>
        <w:autoSpaceDN w:val="0"/>
        <w:adjustRightInd w:val="0"/>
        <w:ind w:left="720"/>
        <w:textAlignment w:val="baseline"/>
        <w:rPr>
          <w:rFonts w:ascii="Calibri" w:hAnsi="Calibri"/>
        </w:rPr>
      </w:pPr>
      <w:r w:rsidRPr="00F75844">
        <w:rPr>
          <w:rFonts w:ascii="Calibri" w:hAnsi="Calibri"/>
        </w:rPr>
        <w:t>The charge of the Division of Professional Affairs, as defined in the Constitution and Bylaws of the NYSCHP, is to be responsible for:</w:t>
      </w:r>
    </w:p>
    <w:p w:rsidR="00A94882" w:rsidRPr="00F75844" w:rsidRDefault="00A94882" w:rsidP="00A94882">
      <w:pPr>
        <w:numPr>
          <w:ilvl w:val="2"/>
          <w:numId w:val="11"/>
        </w:numPr>
        <w:overflowPunct w:val="0"/>
        <w:autoSpaceDE w:val="0"/>
        <w:autoSpaceDN w:val="0"/>
        <w:adjustRightInd w:val="0"/>
        <w:textAlignment w:val="baseline"/>
        <w:rPr>
          <w:rFonts w:ascii="Calibri" w:hAnsi="Calibri"/>
        </w:rPr>
      </w:pPr>
      <w:r w:rsidRPr="00F75844">
        <w:rPr>
          <w:rFonts w:ascii="Calibri" w:hAnsi="Calibri"/>
        </w:rPr>
        <w:t>Reviewing and developing recommendations for the growth of the Council along professional lines;</w:t>
      </w:r>
    </w:p>
    <w:p w:rsidR="00A94882" w:rsidRPr="00F75844" w:rsidRDefault="00A94882" w:rsidP="00A94882">
      <w:pPr>
        <w:numPr>
          <w:ilvl w:val="2"/>
          <w:numId w:val="11"/>
        </w:numPr>
        <w:overflowPunct w:val="0"/>
        <w:autoSpaceDE w:val="0"/>
        <w:autoSpaceDN w:val="0"/>
        <w:adjustRightInd w:val="0"/>
        <w:textAlignment w:val="baseline"/>
        <w:rPr>
          <w:rFonts w:ascii="Calibri" w:hAnsi="Calibri"/>
        </w:rPr>
      </w:pPr>
      <w:r w:rsidRPr="00F75844">
        <w:rPr>
          <w:rFonts w:ascii="Calibri" w:hAnsi="Calibri"/>
        </w:rPr>
        <w:t>Development of new, and maintenance of existing liaisons with other professional organizations involved in the delivery of healthcare: and</w:t>
      </w:r>
    </w:p>
    <w:p w:rsidR="00A94882" w:rsidRPr="00F75844" w:rsidRDefault="00A94882" w:rsidP="00A94882">
      <w:pPr>
        <w:numPr>
          <w:ilvl w:val="2"/>
          <w:numId w:val="11"/>
        </w:numPr>
        <w:overflowPunct w:val="0"/>
        <w:autoSpaceDE w:val="0"/>
        <w:autoSpaceDN w:val="0"/>
        <w:adjustRightInd w:val="0"/>
        <w:textAlignment w:val="baseline"/>
        <w:rPr>
          <w:rFonts w:ascii="Calibri" w:hAnsi="Calibri"/>
        </w:rPr>
      </w:pPr>
      <w:r w:rsidRPr="00F75844">
        <w:rPr>
          <w:rFonts w:ascii="Calibri" w:hAnsi="Calibri"/>
        </w:rPr>
        <w:t>Creating, developing, monitoring and refining the practice and scope of pharmaceutical services</w:t>
      </w:r>
    </w:p>
    <w:p w:rsidR="000954FB" w:rsidRPr="000954FB" w:rsidRDefault="000954FB" w:rsidP="000444A8">
      <w:pPr>
        <w:autoSpaceDE w:val="0"/>
        <w:autoSpaceDN w:val="0"/>
        <w:adjustRightInd w:val="0"/>
        <w:ind w:left="720"/>
        <w:rPr>
          <w:rFonts w:ascii="Arial" w:hAnsi="Arial" w:cs="Arial"/>
          <w:color w:val="000000"/>
          <w:sz w:val="22"/>
          <w:szCs w:val="22"/>
        </w:rPr>
      </w:pPr>
    </w:p>
    <w:p w:rsidR="00C471FE" w:rsidRDefault="000444A8" w:rsidP="00C471FE">
      <w:pPr>
        <w:numPr>
          <w:ilvl w:val="0"/>
          <w:numId w:val="3"/>
        </w:numPr>
        <w:autoSpaceDE w:val="0"/>
        <w:autoSpaceDN w:val="0"/>
        <w:adjustRightInd w:val="0"/>
        <w:spacing w:after="200"/>
        <w:rPr>
          <w:rFonts w:ascii="Arial" w:hAnsi="Arial" w:cs="Arial"/>
          <w:b/>
          <w:bCs/>
          <w:color w:val="000000"/>
          <w:sz w:val="22"/>
          <w:szCs w:val="22"/>
        </w:rPr>
      </w:pPr>
      <w:r w:rsidRPr="000954FB">
        <w:rPr>
          <w:rFonts w:ascii="Arial" w:hAnsi="Arial" w:cs="Arial"/>
          <w:b/>
          <w:bCs/>
          <w:color w:val="000000"/>
          <w:sz w:val="22"/>
          <w:szCs w:val="22"/>
        </w:rPr>
        <w:t xml:space="preserve">Committees of the Division </w:t>
      </w:r>
    </w:p>
    <w:p w:rsidR="00A94882" w:rsidRPr="00F75844" w:rsidRDefault="00A94882" w:rsidP="00A94882">
      <w:pPr>
        <w:numPr>
          <w:ilvl w:val="1"/>
          <w:numId w:val="17"/>
        </w:numPr>
        <w:overflowPunct w:val="0"/>
        <w:autoSpaceDE w:val="0"/>
        <w:autoSpaceDN w:val="0"/>
        <w:adjustRightInd w:val="0"/>
        <w:textAlignment w:val="baseline"/>
        <w:rPr>
          <w:rFonts w:ascii="Calibri" w:hAnsi="Calibri"/>
        </w:rPr>
      </w:pPr>
      <w:r w:rsidRPr="00F75844">
        <w:rPr>
          <w:rFonts w:ascii="Calibri" w:hAnsi="Calibri"/>
        </w:rPr>
        <w:t>Professional Affairs</w:t>
      </w:r>
    </w:p>
    <w:p w:rsidR="00A94882" w:rsidRPr="00F75844" w:rsidRDefault="00A94882" w:rsidP="00A94882">
      <w:pPr>
        <w:rPr>
          <w:rFonts w:ascii="Calibri" w:hAnsi="Calibri"/>
        </w:rPr>
      </w:pPr>
    </w:p>
    <w:p w:rsidR="00A94882" w:rsidRPr="00F75844" w:rsidRDefault="00A94882" w:rsidP="00A94882">
      <w:pPr>
        <w:numPr>
          <w:ilvl w:val="2"/>
          <w:numId w:val="17"/>
        </w:numPr>
        <w:overflowPunct w:val="0"/>
        <w:autoSpaceDE w:val="0"/>
        <w:autoSpaceDN w:val="0"/>
        <w:adjustRightInd w:val="0"/>
        <w:textAlignment w:val="baseline"/>
        <w:rPr>
          <w:rFonts w:ascii="Calibri" w:hAnsi="Calibri"/>
        </w:rPr>
      </w:pPr>
      <w:r w:rsidRPr="00F75844">
        <w:rPr>
          <w:rFonts w:ascii="Calibri" w:hAnsi="Calibri"/>
          <w:u w:val="single"/>
        </w:rPr>
        <w:t>Purpose:</w:t>
      </w:r>
      <w:r w:rsidRPr="00F75844">
        <w:rPr>
          <w:rFonts w:ascii="Calibri" w:hAnsi="Calibri"/>
        </w:rPr>
        <w:t xml:space="preserve"> To respond to the needs of the Council members in matters of Professional Practice and the assurance of quality in the performance of pharmacy services.</w:t>
      </w:r>
    </w:p>
    <w:p w:rsidR="00A94882" w:rsidRPr="00F75844" w:rsidRDefault="00A94882" w:rsidP="00A94882">
      <w:pPr>
        <w:ind w:left="1980"/>
        <w:rPr>
          <w:rFonts w:ascii="Calibri" w:hAnsi="Calibri"/>
        </w:rPr>
      </w:pPr>
    </w:p>
    <w:p w:rsidR="00A94882" w:rsidRPr="00F75844" w:rsidRDefault="00A94882" w:rsidP="00A94882">
      <w:pPr>
        <w:numPr>
          <w:ilvl w:val="2"/>
          <w:numId w:val="17"/>
        </w:numPr>
        <w:overflowPunct w:val="0"/>
        <w:autoSpaceDE w:val="0"/>
        <w:autoSpaceDN w:val="0"/>
        <w:adjustRightInd w:val="0"/>
        <w:textAlignment w:val="baseline"/>
        <w:rPr>
          <w:rFonts w:ascii="Calibri" w:hAnsi="Calibri"/>
        </w:rPr>
      </w:pPr>
      <w:r w:rsidRPr="00F75844">
        <w:rPr>
          <w:rFonts w:ascii="Calibri" w:hAnsi="Calibri"/>
          <w:u w:val="single"/>
        </w:rPr>
        <w:t>Committee Membership:</w:t>
      </w:r>
    </w:p>
    <w:p w:rsidR="00A94882" w:rsidRPr="00F75844" w:rsidRDefault="00A94882" w:rsidP="00A94882">
      <w:pPr>
        <w:numPr>
          <w:ilvl w:val="3"/>
          <w:numId w:val="17"/>
        </w:numPr>
        <w:rPr>
          <w:rFonts w:ascii="Calibri" w:hAnsi="Calibri"/>
        </w:rPr>
      </w:pPr>
      <w:smartTag w:uri="urn:schemas-microsoft-com:office:smarttags" w:element="PersonName">
        <w:r w:rsidRPr="00F75844">
          <w:rPr>
            <w:rFonts w:ascii="Calibri" w:hAnsi="Calibri"/>
          </w:rPr>
          <w:t>Rob</w:t>
        </w:r>
      </w:smartTag>
      <w:r w:rsidRPr="00F75844">
        <w:rPr>
          <w:rFonts w:ascii="Calibri" w:hAnsi="Calibri"/>
        </w:rPr>
        <w:t>ert DiGregorio, BOD</w:t>
      </w:r>
    </w:p>
    <w:p w:rsidR="00A94882" w:rsidRPr="00F75844" w:rsidRDefault="00A94882" w:rsidP="00A94882">
      <w:pPr>
        <w:numPr>
          <w:ilvl w:val="3"/>
          <w:numId w:val="17"/>
        </w:numPr>
        <w:rPr>
          <w:rFonts w:ascii="Calibri" w:hAnsi="Calibri"/>
        </w:rPr>
      </w:pPr>
      <w:r w:rsidRPr="00F75844">
        <w:rPr>
          <w:rFonts w:ascii="Calibri" w:hAnsi="Calibri"/>
        </w:rPr>
        <w:t>Robert Berger, Chair</w:t>
      </w:r>
    </w:p>
    <w:p w:rsidR="00A94882" w:rsidRPr="00F75844" w:rsidRDefault="00A94882" w:rsidP="00A94882">
      <w:pPr>
        <w:numPr>
          <w:ilvl w:val="3"/>
          <w:numId w:val="17"/>
        </w:numPr>
        <w:rPr>
          <w:rFonts w:ascii="Calibri" w:hAnsi="Calibri"/>
        </w:rPr>
      </w:pPr>
      <w:r w:rsidRPr="00F75844">
        <w:rPr>
          <w:rFonts w:ascii="Calibri" w:hAnsi="Calibri"/>
        </w:rPr>
        <w:t>Andrew DiLuca</w:t>
      </w:r>
    </w:p>
    <w:p w:rsidR="00A94882" w:rsidRPr="00F75844" w:rsidRDefault="00A94882" w:rsidP="00A94882">
      <w:pPr>
        <w:numPr>
          <w:ilvl w:val="3"/>
          <w:numId w:val="17"/>
        </w:numPr>
        <w:rPr>
          <w:rFonts w:ascii="Calibri" w:hAnsi="Calibri"/>
        </w:rPr>
      </w:pPr>
      <w:r w:rsidRPr="00F75844">
        <w:rPr>
          <w:rFonts w:ascii="Calibri" w:hAnsi="Calibri"/>
        </w:rPr>
        <w:t>Amanda Engle</w:t>
      </w:r>
    </w:p>
    <w:p w:rsidR="00A94882" w:rsidRPr="00F75844" w:rsidRDefault="00A94882" w:rsidP="00A94882">
      <w:pPr>
        <w:numPr>
          <w:ilvl w:val="3"/>
          <w:numId w:val="17"/>
        </w:numPr>
        <w:rPr>
          <w:rFonts w:ascii="Calibri" w:hAnsi="Calibri"/>
        </w:rPr>
      </w:pPr>
      <w:r w:rsidRPr="00F75844">
        <w:rPr>
          <w:rFonts w:ascii="Calibri" w:hAnsi="Calibri"/>
        </w:rPr>
        <w:t>Karen Falk</w:t>
      </w:r>
    </w:p>
    <w:p w:rsidR="00A94882" w:rsidRPr="00F75844" w:rsidRDefault="00A94882" w:rsidP="00A94882">
      <w:pPr>
        <w:numPr>
          <w:ilvl w:val="3"/>
          <w:numId w:val="17"/>
        </w:numPr>
        <w:rPr>
          <w:rFonts w:ascii="Calibri" w:hAnsi="Calibri"/>
        </w:rPr>
      </w:pPr>
      <w:r w:rsidRPr="00F75844">
        <w:rPr>
          <w:rFonts w:ascii="Calibri" w:hAnsi="Calibri"/>
        </w:rPr>
        <w:t>Jessica Farrell</w:t>
      </w:r>
    </w:p>
    <w:p w:rsidR="00A94882" w:rsidRPr="00F75844" w:rsidRDefault="00A94882" w:rsidP="00A94882">
      <w:pPr>
        <w:numPr>
          <w:ilvl w:val="3"/>
          <w:numId w:val="17"/>
        </w:numPr>
        <w:rPr>
          <w:rFonts w:ascii="Calibri" w:hAnsi="Calibri"/>
        </w:rPr>
      </w:pPr>
      <w:r w:rsidRPr="00F75844">
        <w:rPr>
          <w:rFonts w:ascii="Calibri" w:hAnsi="Calibri"/>
        </w:rPr>
        <w:t>Shaun Flynn</w:t>
      </w:r>
    </w:p>
    <w:p w:rsidR="00A94882" w:rsidRPr="00F75844" w:rsidRDefault="00A94882" w:rsidP="00A94882">
      <w:pPr>
        <w:numPr>
          <w:ilvl w:val="3"/>
          <w:numId w:val="17"/>
        </w:numPr>
        <w:rPr>
          <w:rFonts w:ascii="Calibri" w:hAnsi="Calibri"/>
        </w:rPr>
      </w:pPr>
      <w:r w:rsidRPr="00F75844">
        <w:rPr>
          <w:rFonts w:ascii="Calibri" w:hAnsi="Calibri"/>
        </w:rPr>
        <w:t>Nicole Lodise</w:t>
      </w:r>
    </w:p>
    <w:p w:rsidR="00A94882" w:rsidRPr="00F75844" w:rsidRDefault="00A94882" w:rsidP="00A94882">
      <w:pPr>
        <w:numPr>
          <w:ilvl w:val="3"/>
          <w:numId w:val="17"/>
        </w:numPr>
        <w:rPr>
          <w:rFonts w:ascii="Calibri" w:hAnsi="Calibri"/>
        </w:rPr>
      </w:pPr>
      <w:r w:rsidRPr="00F75844">
        <w:rPr>
          <w:rFonts w:ascii="Calibri" w:hAnsi="Calibri"/>
        </w:rPr>
        <w:t xml:space="preserve">Tim </w:t>
      </w:r>
      <w:r w:rsidRPr="00F75844">
        <w:rPr>
          <w:rFonts w:ascii="Calibri" w:hAnsi="Calibri"/>
          <w:color w:val="000000"/>
        </w:rPr>
        <w:t>Mikhelashvili</w:t>
      </w:r>
    </w:p>
    <w:p w:rsidR="00A94882" w:rsidRPr="00F75844" w:rsidRDefault="00A94882" w:rsidP="00A94882">
      <w:pPr>
        <w:numPr>
          <w:ilvl w:val="3"/>
          <w:numId w:val="17"/>
        </w:numPr>
        <w:rPr>
          <w:rFonts w:ascii="Calibri" w:hAnsi="Calibri"/>
        </w:rPr>
      </w:pPr>
      <w:r w:rsidRPr="00F75844">
        <w:rPr>
          <w:rFonts w:ascii="Calibri" w:hAnsi="Calibri"/>
        </w:rPr>
        <w:t>Kathleen Minlionica</w:t>
      </w:r>
    </w:p>
    <w:p w:rsidR="00A94882" w:rsidRPr="00F75844" w:rsidRDefault="00A94882" w:rsidP="00A94882">
      <w:pPr>
        <w:numPr>
          <w:ilvl w:val="3"/>
          <w:numId w:val="17"/>
        </w:numPr>
        <w:rPr>
          <w:rFonts w:ascii="Calibri" w:hAnsi="Calibri"/>
        </w:rPr>
      </w:pPr>
      <w:r w:rsidRPr="00F75844">
        <w:rPr>
          <w:rFonts w:ascii="Calibri" w:hAnsi="Calibri"/>
        </w:rPr>
        <w:t>Robert Reiss</w:t>
      </w:r>
    </w:p>
    <w:p w:rsidR="00A94882" w:rsidRPr="00F75844" w:rsidRDefault="00A94882" w:rsidP="00A94882">
      <w:pPr>
        <w:numPr>
          <w:ilvl w:val="3"/>
          <w:numId w:val="17"/>
        </w:numPr>
        <w:rPr>
          <w:rFonts w:ascii="Calibri" w:hAnsi="Calibri"/>
        </w:rPr>
      </w:pPr>
      <w:smartTag w:uri="urn:schemas-microsoft-com:office:smarttags" w:element="PersonName">
        <w:r w:rsidRPr="00F75844">
          <w:rPr>
            <w:rFonts w:ascii="Calibri" w:hAnsi="Calibri"/>
          </w:rPr>
          <w:t>Kim</w:t>
        </w:r>
      </w:smartTag>
      <w:r w:rsidRPr="00F75844">
        <w:rPr>
          <w:rFonts w:ascii="Calibri" w:hAnsi="Calibri"/>
        </w:rPr>
        <w:t>berly Sarosky</w:t>
      </w:r>
    </w:p>
    <w:p w:rsidR="00A94882" w:rsidRPr="00F75844" w:rsidRDefault="00A94882" w:rsidP="00A94882">
      <w:pPr>
        <w:numPr>
          <w:ilvl w:val="3"/>
          <w:numId w:val="17"/>
        </w:numPr>
        <w:rPr>
          <w:rFonts w:ascii="Calibri" w:hAnsi="Calibri"/>
        </w:rPr>
      </w:pPr>
      <w:r w:rsidRPr="00F75844">
        <w:rPr>
          <w:rFonts w:ascii="Calibri" w:hAnsi="Calibri"/>
        </w:rPr>
        <w:t>Elizabeth Shlom</w:t>
      </w:r>
    </w:p>
    <w:p w:rsidR="00A94882" w:rsidRPr="00F75844" w:rsidRDefault="00A94882" w:rsidP="00A94882">
      <w:pPr>
        <w:numPr>
          <w:ilvl w:val="3"/>
          <w:numId w:val="17"/>
        </w:numPr>
        <w:rPr>
          <w:rFonts w:ascii="Calibri" w:hAnsi="Calibri"/>
        </w:rPr>
      </w:pPr>
      <w:r w:rsidRPr="00F75844">
        <w:rPr>
          <w:rFonts w:ascii="Calibri" w:hAnsi="Calibri"/>
        </w:rPr>
        <w:t xml:space="preserve">Kelly Rudd (NYS-ACCP Liaison) </w:t>
      </w:r>
    </w:p>
    <w:p w:rsidR="00A94882" w:rsidRPr="00F75844" w:rsidRDefault="00A94882" w:rsidP="00A94882">
      <w:pPr>
        <w:numPr>
          <w:ilvl w:val="2"/>
          <w:numId w:val="17"/>
        </w:numPr>
        <w:rPr>
          <w:rFonts w:ascii="Calibri" w:hAnsi="Calibri"/>
        </w:rPr>
      </w:pPr>
      <w:r w:rsidRPr="00F75844">
        <w:rPr>
          <w:rFonts w:ascii="Calibri" w:hAnsi="Calibri"/>
          <w:u w:val="single"/>
        </w:rPr>
        <w:t>Meeting Dates:</w:t>
      </w:r>
      <w:r w:rsidRPr="00F75844">
        <w:rPr>
          <w:rFonts w:ascii="Calibri" w:hAnsi="Calibri"/>
        </w:rPr>
        <w:t xml:space="preserve">  </w:t>
      </w:r>
    </w:p>
    <w:p w:rsidR="002C4F28" w:rsidRDefault="002C4F28" w:rsidP="00A94882">
      <w:pPr>
        <w:numPr>
          <w:ilvl w:val="3"/>
          <w:numId w:val="17"/>
        </w:numPr>
        <w:rPr>
          <w:rFonts w:ascii="Calibri" w:hAnsi="Calibri"/>
        </w:rPr>
      </w:pPr>
      <w:r>
        <w:rPr>
          <w:rFonts w:ascii="Calibri" w:hAnsi="Calibri"/>
        </w:rPr>
        <w:t>June 2, 2015</w:t>
      </w:r>
    </w:p>
    <w:p w:rsidR="002C4F28" w:rsidRDefault="002C4F28" w:rsidP="00A94882">
      <w:pPr>
        <w:numPr>
          <w:ilvl w:val="3"/>
          <w:numId w:val="17"/>
        </w:numPr>
        <w:rPr>
          <w:rFonts w:ascii="Calibri" w:hAnsi="Calibri"/>
        </w:rPr>
      </w:pPr>
      <w:r>
        <w:rPr>
          <w:rFonts w:ascii="Calibri" w:hAnsi="Calibri"/>
        </w:rPr>
        <w:t>July 7, 2015</w:t>
      </w:r>
    </w:p>
    <w:p w:rsidR="00A94882" w:rsidRDefault="0074141F" w:rsidP="00A94882">
      <w:pPr>
        <w:numPr>
          <w:ilvl w:val="3"/>
          <w:numId w:val="17"/>
        </w:numPr>
        <w:rPr>
          <w:rFonts w:ascii="Calibri" w:hAnsi="Calibri"/>
        </w:rPr>
      </w:pPr>
      <w:r>
        <w:rPr>
          <w:rFonts w:ascii="Calibri" w:hAnsi="Calibri"/>
        </w:rPr>
        <w:t>September 1</w:t>
      </w:r>
      <w:r w:rsidR="00A94882" w:rsidRPr="00F75844">
        <w:rPr>
          <w:rFonts w:ascii="Calibri" w:hAnsi="Calibri"/>
        </w:rPr>
        <w:t>, 201</w:t>
      </w:r>
      <w:r>
        <w:rPr>
          <w:rFonts w:ascii="Calibri" w:hAnsi="Calibri"/>
        </w:rPr>
        <w:t>5</w:t>
      </w:r>
    </w:p>
    <w:p w:rsidR="00BE0167" w:rsidRPr="00F75844" w:rsidRDefault="00BE0167" w:rsidP="00A94882">
      <w:pPr>
        <w:numPr>
          <w:ilvl w:val="3"/>
          <w:numId w:val="17"/>
        </w:numPr>
        <w:rPr>
          <w:rFonts w:ascii="Calibri" w:hAnsi="Calibri"/>
        </w:rPr>
      </w:pPr>
      <w:r>
        <w:rPr>
          <w:rFonts w:ascii="Calibri" w:hAnsi="Calibri"/>
        </w:rPr>
        <w:t>October 6, 2015 (cancelled)</w:t>
      </w:r>
    </w:p>
    <w:p w:rsidR="00A94882" w:rsidRPr="00F75844" w:rsidRDefault="00BE0167" w:rsidP="00A94882">
      <w:pPr>
        <w:numPr>
          <w:ilvl w:val="3"/>
          <w:numId w:val="17"/>
        </w:numPr>
        <w:rPr>
          <w:rFonts w:ascii="Calibri" w:hAnsi="Calibri"/>
        </w:rPr>
      </w:pPr>
      <w:r>
        <w:rPr>
          <w:rFonts w:ascii="Calibri" w:hAnsi="Calibri"/>
        </w:rPr>
        <w:t>November 3, 1015</w:t>
      </w:r>
    </w:p>
    <w:p w:rsidR="00A94882" w:rsidRDefault="00BE0167" w:rsidP="00A94882">
      <w:pPr>
        <w:numPr>
          <w:ilvl w:val="3"/>
          <w:numId w:val="17"/>
        </w:numPr>
        <w:rPr>
          <w:rFonts w:ascii="Calibri" w:hAnsi="Calibri"/>
        </w:rPr>
      </w:pPr>
      <w:r>
        <w:rPr>
          <w:rFonts w:ascii="Calibri" w:hAnsi="Calibri"/>
        </w:rPr>
        <w:t>January 12</w:t>
      </w:r>
      <w:r w:rsidR="00A94882" w:rsidRPr="00F75844">
        <w:rPr>
          <w:rFonts w:ascii="Calibri" w:hAnsi="Calibri"/>
        </w:rPr>
        <w:t>, 201</w:t>
      </w:r>
      <w:r>
        <w:rPr>
          <w:rFonts w:ascii="Calibri" w:hAnsi="Calibri"/>
        </w:rPr>
        <w:t>6 (cancelled)</w:t>
      </w:r>
    </w:p>
    <w:p w:rsidR="00BE0167" w:rsidRDefault="00BE0167" w:rsidP="00A94882">
      <w:pPr>
        <w:numPr>
          <w:ilvl w:val="3"/>
          <w:numId w:val="17"/>
        </w:numPr>
        <w:rPr>
          <w:rFonts w:ascii="Calibri" w:hAnsi="Calibri"/>
        </w:rPr>
      </w:pPr>
      <w:r>
        <w:rPr>
          <w:rFonts w:ascii="Calibri" w:hAnsi="Calibri"/>
        </w:rPr>
        <w:t>February 2, 2016 (email discussion only)</w:t>
      </w:r>
    </w:p>
    <w:p w:rsidR="00BE0167" w:rsidRPr="00F75844" w:rsidRDefault="00BE0167" w:rsidP="00A94882">
      <w:pPr>
        <w:numPr>
          <w:ilvl w:val="3"/>
          <w:numId w:val="17"/>
        </w:numPr>
        <w:rPr>
          <w:rFonts w:ascii="Calibri" w:hAnsi="Calibri"/>
        </w:rPr>
      </w:pPr>
      <w:r>
        <w:rPr>
          <w:rFonts w:ascii="Calibri" w:hAnsi="Calibri"/>
        </w:rPr>
        <w:t>March 1, 2016 (cancelled)</w:t>
      </w:r>
    </w:p>
    <w:p w:rsidR="00A94882" w:rsidRPr="00F75844" w:rsidRDefault="00A94882" w:rsidP="00A94882">
      <w:pPr>
        <w:ind w:left="1440"/>
        <w:rPr>
          <w:rFonts w:ascii="Calibri" w:hAnsi="Calibri"/>
        </w:rPr>
      </w:pPr>
    </w:p>
    <w:p w:rsidR="00066661" w:rsidRDefault="00A94882" w:rsidP="00066661">
      <w:pPr>
        <w:numPr>
          <w:ilvl w:val="2"/>
          <w:numId w:val="17"/>
        </w:numPr>
        <w:rPr>
          <w:rFonts w:ascii="Calibri" w:hAnsi="Calibri"/>
        </w:rPr>
      </w:pPr>
      <w:r w:rsidRPr="00F75844">
        <w:rPr>
          <w:rFonts w:ascii="Calibri" w:hAnsi="Calibri"/>
          <w:bCs/>
          <w:iCs/>
          <w:u w:val="single"/>
        </w:rPr>
        <w:t>Policies for Sunset Review (201</w:t>
      </w:r>
      <w:r w:rsidR="00BF18A8">
        <w:rPr>
          <w:rFonts w:ascii="Calibri" w:hAnsi="Calibri"/>
          <w:bCs/>
          <w:iCs/>
          <w:u w:val="single"/>
        </w:rPr>
        <w:t>6</w:t>
      </w:r>
      <w:r w:rsidRPr="00F75844">
        <w:rPr>
          <w:rFonts w:ascii="Calibri" w:hAnsi="Calibri"/>
          <w:bCs/>
          <w:iCs/>
          <w:u w:val="single"/>
        </w:rPr>
        <w:t xml:space="preserve">): </w:t>
      </w:r>
      <w:r w:rsidR="00066661">
        <w:rPr>
          <w:rFonts w:ascii="Calibri" w:hAnsi="Calibri"/>
          <w:bCs/>
          <w:iCs/>
          <w:u w:val="single"/>
        </w:rPr>
        <w:t xml:space="preserve"> </w:t>
      </w:r>
    </w:p>
    <w:p w:rsidR="00066661" w:rsidRDefault="00BF18A8" w:rsidP="00066661">
      <w:pPr>
        <w:numPr>
          <w:ilvl w:val="3"/>
          <w:numId w:val="17"/>
        </w:numPr>
        <w:rPr>
          <w:rFonts w:ascii="Calibri" w:hAnsi="Calibri"/>
        </w:rPr>
      </w:pPr>
      <w:r w:rsidRPr="00066661">
        <w:rPr>
          <w:rFonts w:ascii="Candara" w:hAnsi="Candara"/>
          <w:color w:val="000000"/>
          <w:sz w:val="20"/>
          <w:szCs w:val="20"/>
        </w:rPr>
        <w:t xml:space="preserve">List of Policy Statements for Sunset </w:t>
      </w:r>
    </w:p>
    <w:p w:rsidR="00066661" w:rsidRDefault="00BF18A8" w:rsidP="00066661">
      <w:pPr>
        <w:numPr>
          <w:ilvl w:val="4"/>
          <w:numId w:val="17"/>
        </w:numPr>
        <w:rPr>
          <w:rFonts w:ascii="Candara" w:hAnsi="Candara"/>
          <w:color w:val="000000"/>
          <w:sz w:val="20"/>
          <w:szCs w:val="20"/>
        </w:rPr>
      </w:pPr>
      <w:r w:rsidRPr="00066661">
        <w:rPr>
          <w:rFonts w:ascii="Candara" w:hAnsi="Candara"/>
          <w:color w:val="000000"/>
          <w:sz w:val="20"/>
          <w:szCs w:val="20"/>
        </w:rPr>
        <w:t>1-86 Clinical Investigations</w:t>
      </w:r>
      <w:r w:rsidR="00066661" w:rsidRPr="00066661">
        <w:rPr>
          <w:rFonts w:ascii="Candara" w:hAnsi="Candara"/>
          <w:color w:val="000000"/>
          <w:sz w:val="20"/>
          <w:szCs w:val="20"/>
        </w:rPr>
        <w:t xml:space="preserve">: </w:t>
      </w:r>
    </w:p>
    <w:p w:rsidR="00BF18A8" w:rsidRPr="00066661" w:rsidRDefault="00066661" w:rsidP="00066661">
      <w:pPr>
        <w:ind w:left="2880"/>
        <w:rPr>
          <w:rFonts w:ascii="Candara" w:hAnsi="Candara"/>
          <w:color w:val="000000"/>
          <w:sz w:val="20"/>
          <w:szCs w:val="20"/>
        </w:rPr>
      </w:pPr>
      <w:r>
        <w:rPr>
          <w:rFonts w:ascii="Candara" w:hAnsi="Candara"/>
          <w:bCs/>
          <w:sz w:val="20"/>
          <w:szCs w:val="20"/>
        </w:rPr>
        <w:t>(</w:t>
      </w:r>
      <w:r w:rsidR="00BF18A8" w:rsidRPr="00066661">
        <w:rPr>
          <w:rFonts w:ascii="Candara" w:hAnsi="Candara"/>
          <w:bCs/>
          <w:sz w:val="20"/>
          <w:szCs w:val="20"/>
        </w:rPr>
        <w:t xml:space="preserve">1-10)  </w:t>
      </w:r>
      <w:r w:rsidR="00BF18A8" w:rsidRPr="00066661">
        <w:rPr>
          <w:rFonts w:ascii="Candara" w:hAnsi="Candara"/>
          <w:sz w:val="20"/>
          <w:szCs w:val="20"/>
        </w:rPr>
        <w:t xml:space="preserve">The New York State Council of Health-system Pharmacists supports randomized clinical investigations and that age should not be a primary exclusion in clinical trials for drugs for use in the elderly and non-elderly populations and the New York State Council of Health-system </w:t>
      </w:r>
      <w:r w:rsidR="00BF18A8" w:rsidRPr="00066661">
        <w:rPr>
          <w:rFonts w:ascii="Candara" w:hAnsi="Candara"/>
          <w:sz w:val="20"/>
          <w:szCs w:val="20"/>
        </w:rPr>
        <w:lastRenderedPageBreak/>
        <w:t>Pharmacists supports a systematic surveillance mechanism in clinical investigations to monitor for informed consent and to prevent potential harm and/or misuse of elderly patients in clinical investigation.</w:t>
      </w:r>
    </w:p>
    <w:p w:rsidR="00BF18A8" w:rsidRPr="00066661" w:rsidRDefault="00BF18A8" w:rsidP="00066661">
      <w:pPr>
        <w:numPr>
          <w:ilvl w:val="5"/>
          <w:numId w:val="17"/>
        </w:numPr>
        <w:rPr>
          <w:rFonts w:ascii="Candara" w:hAnsi="Candara"/>
          <w:color w:val="000000"/>
          <w:sz w:val="20"/>
          <w:szCs w:val="20"/>
        </w:rPr>
      </w:pPr>
      <w:r>
        <w:rPr>
          <w:rFonts w:ascii="Candara" w:hAnsi="Candara"/>
          <w:iCs/>
          <w:sz w:val="20"/>
          <w:szCs w:val="20"/>
        </w:rPr>
        <w:t>Recommend revising policy statement by removing “…and/or misuse of elderly patient in clinical investigation”.</w:t>
      </w:r>
    </w:p>
    <w:p w:rsidR="00066661" w:rsidRPr="008129F0" w:rsidRDefault="00066661" w:rsidP="00066661">
      <w:pPr>
        <w:numPr>
          <w:ilvl w:val="5"/>
          <w:numId w:val="17"/>
        </w:numPr>
        <w:rPr>
          <w:rFonts w:ascii="Candara" w:hAnsi="Candara"/>
          <w:sz w:val="20"/>
          <w:szCs w:val="20"/>
        </w:rPr>
      </w:pPr>
      <w:r w:rsidRPr="008129F0">
        <w:rPr>
          <w:rFonts w:ascii="Candara" w:hAnsi="Candara"/>
          <w:sz w:val="20"/>
          <w:szCs w:val="20"/>
        </w:rPr>
        <w:t>The New York State Council of Health-system Pharmacists supports randomized clinical investigations and that age should not be a primary exclusion in clinical trials for drugs for use in the elderly and non-elderly populations and the New York State Council of Health-system Pharmacists supports a systematic surveillance mechanism in clinical investigations to monitor for informed consent and to prevent potential harm.</w:t>
      </w:r>
    </w:p>
    <w:p w:rsidR="00066661" w:rsidRDefault="00066661" w:rsidP="00066661">
      <w:pPr>
        <w:ind w:left="1440"/>
        <w:rPr>
          <w:rFonts w:ascii="Candara" w:hAnsi="Candara"/>
          <w:color w:val="000000"/>
          <w:sz w:val="20"/>
          <w:szCs w:val="20"/>
        </w:rPr>
      </w:pPr>
    </w:p>
    <w:p w:rsidR="00BF18A8" w:rsidRDefault="00BF18A8" w:rsidP="00066661">
      <w:pPr>
        <w:numPr>
          <w:ilvl w:val="3"/>
          <w:numId w:val="17"/>
        </w:numPr>
        <w:rPr>
          <w:rFonts w:ascii="Candara" w:hAnsi="Candara"/>
          <w:color w:val="000000"/>
          <w:sz w:val="20"/>
          <w:szCs w:val="20"/>
        </w:rPr>
      </w:pPr>
      <w:r>
        <w:rPr>
          <w:rFonts w:ascii="Candara" w:hAnsi="Candara"/>
          <w:color w:val="000000"/>
          <w:sz w:val="20"/>
          <w:szCs w:val="20"/>
        </w:rPr>
        <w:t>1-01 NYSCHP Recommends the Use of Samples Under Institution Specific Policy and Procedures</w:t>
      </w:r>
    </w:p>
    <w:p w:rsidR="00BF18A8" w:rsidRDefault="00BF18A8" w:rsidP="00066661">
      <w:pPr>
        <w:ind w:left="2880"/>
        <w:rPr>
          <w:rFonts w:ascii="Candara" w:hAnsi="Candara"/>
          <w:color w:val="000000"/>
          <w:sz w:val="20"/>
          <w:szCs w:val="20"/>
        </w:rPr>
      </w:pPr>
      <w:r>
        <w:rPr>
          <w:rFonts w:ascii="Candara" w:hAnsi="Candara"/>
          <w:bCs/>
          <w:sz w:val="20"/>
          <w:szCs w:val="20"/>
        </w:rPr>
        <w:t xml:space="preserve">(1-01) </w:t>
      </w:r>
      <w:r>
        <w:rPr>
          <w:rFonts w:ascii="Candara" w:hAnsi="Candara" w:cs="Verdana"/>
          <w:sz w:val="20"/>
          <w:szCs w:val="20"/>
        </w:rPr>
        <w:t xml:space="preserve">Use of medication samples should encourage the appropriate, cost-effective use of drugs in ambulatory settings regardless of formulary status within an institution and provide elements of pharmaceutical care as defined by Strand et. al. Restricted utilization shall be limited to the following: indigent patient populations; patients without prescription coverage; patients who are poorly compliant; disabled patients who are unable to access pharmacy services; psychiatric or mentally disabled patients who are unable to comprehend the necessity of their medication; instances when access to pharmacy services is limited or unavailable. </w:t>
      </w:r>
      <w:r>
        <w:rPr>
          <w:rFonts w:ascii="Candara" w:hAnsi="Candara" w:cs="Verdana"/>
          <w:b/>
          <w:bCs/>
          <w:sz w:val="20"/>
          <w:szCs w:val="20"/>
        </w:rPr>
        <w:t>(Amended 2011 HOD)</w:t>
      </w:r>
    </w:p>
    <w:p w:rsidR="00BF18A8" w:rsidRDefault="00BF18A8" w:rsidP="00066661">
      <w:pPr>
        <w:numPr>
          <w:ilvl w:val="4"/>
          <w:numId w:val="17"/>
        </w:numPr>
        <w:rPr>
          <w:rFonts w:ascii="Candara" w:hAnsi="Candara"/>
          <w:color w:val="000000"/>
          <w:sz w:val="20"/>
          <w:szCs w:val="20"/>
        </w:rPr>
      </w:pPr>
      <w:r>
        <w:rPr>
          <w:rFonts w:ascii="Candara" w:hAnsi="Candara"/>
          <w:sz w:val="20"/>
          <w:szCs w:val="20"/>
        </w:rPr>
        <w:t>Recommend to sunset policy statement.</w:t>
      </w:r>
    </w:p>
    <w:p w:rsidR="00BF18A8" w:rsidRDefault="00BF18A8" w:rsidP="00066661">
      <w:pPr>
        <w:numPr>
          <w:ilvl w:val="3"/>
          <w:numId w:val="17"/>
        </w:numPr>
        <w:rPr>
          <w:rFonts w:ascii="Candara" w:hAnsi="Candara"/>
          <w:color w:val="000000"/>
          <w:sz w:val="20"/>
          <w:szCs w:val="20"/>
        </w:rPr>
      </w:pPr>
      <w:r>
        <w:rPr>
          <w:rFonts w:ascii="Candara" w:hAnsi="Candara"/>
          <w:color w:val="000000"/>
          <w:sz w:val="20"/>
          <w:szCs w:val="20"/>
        </w:rPr>
        <w:t>2-06 NYSCHP supports the replacement of the compounding component of Part III of the NYS Pharmacy Board Exam with a written clinical portion or simulated patient counselling sessions to appropriately asses their readiness for licensure and practice.</w:t>
      </w:r>
    </w:p>
    <w:p w:rsidR="00BF18A8" w:rsidRDefault="00BF18A8" w:rsidP="00066661">
      <w:pPr>
        <w:numPr>
          <w:ilvl w:val="4"/>
          <w:numId w:val="17"/>
        </w:numPr>
        <w:rPr>
          <w:rFonts w:ascii="Candara" w:hAnsi="Candara"/>
          <w:color w:val="000000"/>
          <w:sz w:val="20"/>
          <w:szCs w:val="20"/>
        </w:rPr>
      </w:pPr>
      <w:r>
        <w:rPr>
          <w:rFonts w:ascii="Candara" w:hAnsi="Candara"/>
          <w:bCs/>
          <w:color w:val="000000"/>
          <w:sz w:val="20"/>
          <w:szCs w:val="20"/>
        </w:rPr>
        <w:t xml:space="preserve">(2-06) </w:t>
      </w:r>
      <w:r>
        <w:rPr>
          <w:rFonts w:ascii="Candara" w:hAnsi="Candara" w:cs="Verdana"/>
          <w:sz w:val="20"/>
          <w:szCs w:val="20"/>
        </w:rPr>
        <w:t>Pharmacy practice has moved into a more direct clinical patient-care role requiring less emphasis on compounding</w:t>
      </w:r>
    </w:p>
    <w:p w:rsidR="00BF18A8" w:rsidRDefault="00BF18A8" w:rsidP="00066661">
      <w:pPr>
        <w:numPr>
          <w:ilvl w:val="4"/>
          <w:numId w:val="17"/>
        </w:numPr>
        <w:rPr>
          <w:rFonts w:ascii="Candara" w:hAnsi="Candara"/>
          <w:color w:val="000000"/>
          <w:sz w:val="20"/>
          <w:szCs w:val="20"/>
        </w:rPr>
      </w:pPr>
      <w:r>
        <w:rPr>
          <w:rFonts w:ascii="Candara" w:hAnsi="Candara"/>
          <w:sz w:val="20"/>
          <w:szCs w:val="20"/>
        </w:rPr>
        <w:t>Recommend to sunset policy statement.</w:t>
      </w:r>
    </w:p>
    <w:p w:rsidR="00BF18A8" w:rsidRDefault="00BF18A8" w:rsidP="00066661">
      <w:pPr>
        <w:numPr>
          <w:ilvl w:val="3"/>
          <w:numId w:val="17"/>
        </w:numPr>
        <w:rPr>
          <w:rFonts w:ascii="Candara" w:hAnsi="Candara"/>
          <w:color w:val="000000"/>
          <w:sz w:val="20"/>
          <w:szCs w:val="20"/>
        </w:rPr>
      </w:pPr>
      <w:r>
        <w:rPr>
          <w:rFonts w:ascii="Candara" w:hAnsi="Candara"/>
          <w:color w:val="000000"/>
          <w:sz w:val="20"/>
          <w:szCs w:val="20"/>
        </w:rPr>
        <w:t>4-06 NYSCHP supports collaborative drug therapy management to aid in the retention of pharmacy school graduates in New York State.</w:t>
      </w:r>
    </w:p>
    <w:p w:rsidR="00BF18A8" w:rsidRDefault="00BF18A8" w:rsidP="00066661">
      <w:pPr>
        <w:numPr>
          <w:ilvl w:val="4"/>
          <w:numId w:val="17"/>
        </w:numPr>
        <w:rPr>
          <w:rFonts w:ascii="Candara" w:hAnsi="Candara"/>
          <w:color w:val="000000"/>
          <w:sz w:val="20"/>
          <w:szCs w:val="20"/>
        </w:rPr>
      </w:pPr>
      <w:r>
        <w:rPr>
          <w:rFonts w:ascii="Candara" w:hAnsi="Candara"/>
          <w:bCs/>
          <w:color w:val="000000"/>
          <w:sz w:val="20"/>
          <w:szCs w:val="20"/>
        </w:rPr>
        <w:t xml:space="preserve">(4-06)  </w:t>
      </w:r>
      <w:r>
        <w:rPr>
          <w:rFonts w:ascii="Candara" w:hAnsi="Candara" w:cs="Verdana"/>
          <w:sz w:val="20"/>
          <w:szCs w:val="20"/>
        </w:rPr>
        <w:t>NYS is experiencing a shortage of pharmacists that is projected to increase by the year 2020 with a projected increase in prescription volume anticipated at 30% from 1992-1999 and continuing to rise at an average of 6% per year to reach 7.2 billion prescriptions by the year 2020 and the growth in the population 65 and older which uses a higher share of prescription drugs and pharmacists add a value to the profession and overall healthcare of the patient as an educator and an advocate. The number of graduates from the 4 pharmacy schools is about 2,000 per year, the retention of these graduates is decreasing and the broadening practice of pharmacy in 42 states has been accepted.</w:t>
      </w:r>
    </w:p>
    <w:p w:rsidR="00BF18A8" w:rsidRDefault="00BF18A8" w:rsidP="00066661">
      <w:pPr>
        <w:numPr>
          <w:ilvl w:val="4"/>
          <w:numId w:val="17"/>
        </w:numPr>
        <w:rPr>
          <w:rFonts w:ascii="Candara" w:hAnsi="Candara"/>
          <w:color w:val="000000"/>
          <w:sz w:val="20"/>
          <w:szCs w:val="20"/>
        </w:rPr>
      </w:pPr>
      <w:r>
        <w:rPr>
          <w:rFonts w:ascii="Candara" w:hAnsi="Candara"/>
          <w:sz w:val="20"/>
          <w:szCs w:val="20"/>
        </w:rPr>
        <w:t>Recommend to sunset policy statement.</w:t>
      </w:r>
    </w:p>
    <w:p w:rsidR="00BF18A8" w:rsidRDefault="00BF18A8" w:rsidP="00066661">
      <w:pPr>
        <w:numPr>
          <w:ilvl w:val="3"/>
          <w:numId w:val="17"/>
        </w:numPr>
        <w:rPr>
          <w:rFonts w:ascii="Candara" w:hAnsi="Candara"/>
          <w:color w:val="000000"/>
          <w:sz w:val="20"/>
          <w:szCs w:val="20"/>
        </w:rPr>
      </w:pPr>
      <w:r>
        <w:rPr>
          <w:rFonts w:ascii="Candara" w:hAnsi="Candara"/>
          <w:color w:val="000000"/>
          <w:sz w:val="20"/>
          <w:szCs w:val="20"/>
        </w:rPr>
        <w:t>5-06 NYSCHP supports the health-system pharmacist’s role in automation  and informatics</w:t>
      </w:r>
      <w:r>
        <w:rPr>
          <w:rFonts w:ascii="Candara" w:hAnsi="Candara"/>
          <w:color w:val="000000"/>
          <w:sz w:val="20"/>
          <w:szCs w:val="20"/>
        </w:rPr>
        <w:tab/>
      </w:r>
    </w:p>
    <w:p w:rsidR="00BF18A8" w:rsidRDefault="00BF18A8" w:rsidP="00066661">
      <w:pPr>
        <w:numPr>
          <w:ilvl w:val="4"/>
          <w:numId w:val="17"/>
        </w:numPr>
        <w:rPr>
          <w:rFonts w:ascii="Candara" w:hAnsi="Candara"/>
          <w:color w:val="000000"/>
          <w:sz w:val="20"/>
          <w:szCs w:val="20"/>
        </w:rPr>
      </w:pPr>
      <w:r>
        <w:rPr>
          <w:rFonts w:ascii="Candara" w:hAnsi="Candara"/>
          <w:color w:val="000000"/>
          <w:sz w:val="20"/>
          <w:szCs w:val="20"/>
        </w:rPr>
        <w:t xml:space="preserve">(5-06) </w:t>
      </w:r>
      <w:r>
        <w:rPr>
          <w:rFonts w:ascii="Candara" w:hAnsi="Candara" w:cs="Verdana"/>
          <w:sz w:val="20"/>
          <w:szCs w:val="20"/>
        </w:rPr>
        <w:t>The New York State Council of Health-system Pharmacists believes that pharmacists have the unique knowledge, expertise, and responsibility to assume a leadership role in automation initiatives and clinical informatics in health systems, further, as health-systems develop plans for the adoption of health information technology and associated automation, pharmacists must integrate their knowledge of information systems and the medication use process to improve patient care by insuring that new technologies lead to more effective, more efficient and safer medication use, and, health-system pharmacists must advocate for and initiate changes in processes and workflow associated with automated systems and health information technology to maximize the safety and effectiveness of these innovations within all health-system settings.</w:t>
      </w:r>
    </w:p>
    <w:p w:rsidR="00BF18A8" w:rsidRDefault="00BF18A8" w:rsidP="00066661">
      <w:pPr>
        <w:numPr>
          <w:ilvl w:val="4"/>
          <w:numId w:val="17"/>
        </w:numPr>
        <w:rPr>
          <w:rFonts w:ascii="Candara" w:hAnsi="Candara"/>
          <w:color w:val="000000"/>
          <w:sz w:val="20"/>
          <w:szCs w:val="20"/>
        </w:rPr>
      </w:pPr>
      <w:r>
        <w:rPr>
          <w:rFonts w:ascii="Candara" w:hAnsi="Candara"/>
          <w:sz w:val="20"/>
          <w:szCs w:val="20"/>
        </w:rPr>
        <w:t>Recommend to sunset policy statement.</w:t>
      </w:r>
    </w:p>
    <w:p w:rsidR="00BF18A8" w:rsidRDefault="00BF18A8" w:rsidP="00066661">
      <w:pPr>
        <w:numPr>
          <w:ilvl w:val="3"/>
          <w:numId w:val="17"/>
        </w:numPr>
        <w:autoSpaceDE w:val="0"/>
        <w:autoSpaceDN w:val="0"/>
        <w:adjustRightInd w:val="0"/>
        <w:rPr>
          <w:rFonts w:ascii="Candara" w:hAnsi="Candara" w:cs="Verdana"/>
          <w:bCs/>
          <w:sz w:val="20"/>
          <w:szCs w:val="20"/>
        </w:rPr>
      </w:pPr>
      <w:r>
        <w:rPr>
          <w:rFonts w:ascii="Candara" w:hAnsi="Candara"/>
          <w:color w:val="000000"/>
          <w:sz w:val="20"/>
          <w:szCs w:val="20"/>
        </w:rPr>
        <w:t xml:space="preserve">6-06 </w:t>
      </w:r>
      <w:r>
        <w:rPr>
          <w:rFonts w:ascii="Candara" w:hAnsi="Candara" w:cs="Verdana"/>
          <w:bCs/>
          <w:sz w:val="20"/>
          <w:szCs w:val="20"/>
        </w:rPr>
        <w:t>NYSCHP supports the health-system Pharmacist’s Right of Conscience and Patient’s Right to Access to Therapy.</w:t>
      </w:r>
    </w:p>
    <w:p w:rsidR="00BF18A8" w:rsidRDefault="00BF18A8" w:rsidP="00066661">
      <w:pPr>
        <w:numPr>
          <w:ilvl w:val="4"/>
          <w:numId w:val="17"/>
        </w:numPr>
        <w:autoSpaceDE w:val="0"/>
        <w:autoSpaceDN w:val="0"/>
        <w:adjustRightInd w:val="0"/>
        <w:rPr>
          <w:rFonts w:ascii="Candara" w:hAnsi="Candara" w:cs="Verdana"/>
          <w:bCs/>
          <w:sz w:val="20"/>
          <w:szCs w:val="20"/>
        </w:rPr>
      </w:pPr>
      <w:r>
        <w:rPr>
          <w:rFonts w:ascii="Candara" w:hAnsi="Candara" w:cs="Verdana"/>
          <w:bCs/>
          <w:sz w:val="20"/>
          <w:szCs w:val="20"/>
        </w:rPr>
        <w:t>(6-06)</w:t>
      </w:r>
      <w:r>
        <w:rPr>
          <w:rFonts w:cs="Verdana"/>
        </w:rPr>
        <w:t xml:space="preserve"> </w:t>
      </w:r>
      <w:r>
        <w:rPr>
          <w:rFonts w:ascii="Candara" w:hAnsi="Candara" w:cs="Verdana"/>
          <w:sz w:val="20"/>
          <w:szCs w:val="20"/>
        </w:rPr>
        <w:t>The New York State Council of Health-system Pharmacists recognizes the right of pharmacists and there pharmacy employees to decline to participate in therapies due to moral, religious or ethical</w:t>
      </w:r>
      <w:r>
        <w:rPr>
          <w:rFonts w:ascii="Candara" w:hAnsi="Candara" w:cs="Verdana"/>
          <w:bCs/>
          <w:sz w:val="20"/>
          <w:szCs w:val="20"/>
        </w:rPr>
        <w:t xml:space="preserve"> </w:t>
      </w:r>
      <w:r>
        <w:rPr>
          <w:rFonts w:ascii="Candara" w:hAnsi="Candara" w:cs="Verdana"/>
          <w:sz w:val="20"/>
          <w:szCs w:val="20"/>
        </w:rPr>
        <w:t>reasons; further, supports that pharmacists and other pharmacy employees have a responsibility to</w:t>
      </w:r>
      <w:r>
        <w:rPr>
          <w:rFonts w:ascii="Candara" w:hAnsi="Candara" w:cs="Verdana"/>
          <w:bCs/>
          <w:sz w:val="20"/>
          <w:szCs w:val="20"/>
        </w:rPr>
        <w:t xml:space="preserve"> </w:t>
      </w:r>
      <w:r>
        <w:rPr>
          <w:rFonts w:ascii="Candara" w:hAnsi="Candara" w:cs="Verdana"/>
          <w:sz w:val="20"/>
          <w:szCs w:val="20"/>
        </w:rPr>
        <w:t>inform employers of situations where they would decline to participate in therapies due to moral,</w:t>
      </w:r>
      <w:r>
        <w:rPr>
          <w:rFonts w:ascii="Candara" w:hAnsi="Candara" w:cs="Verdana"/>
          <w:bCs/>
          <w:sz w:val="20"/>
          <w:szCs w:val="20"/>
        </w:rPr>
        <w:t xml:space="preserve"> </w:t>
      </w:r>
      <w:r>
        <w:rPr>
          <w:rFonts w:ascii="Candara" w:hAnsi="Candara" w:cs="Verdana"/>
          <w:sz w:val="20"/>
          <w:szCs w:val="20"/>
        </w:rPr>
        <w:t>religious, or ethical reasons; further supports that employers, once notified of a pharmacist or</w:t>
      </w:r>
      <w:r>
        <w:rPr>
          <w:rFonts w:ascii="Candara" w:hAnsi="Candara" w:cs="Verdana"/>
          <w:bCs/>
          <w:sz w:val="20"/>
          <w:szCs w:val="20"/>
        </w:rPr>
        <w:t xml:space="preserve"> </w:t>
      </w:r>
      <w:r>
        <w:rPr>
          <w:rFonts w:ascii="Candara" w:hAnsi="Candara" w:cs="Verdana"/>
          <w:sz w:val="20"/>
          <w:szCs w:val="20"/>
        </w:rPr>
        <w:t>pharmacy employee’s intent to decline participation in therapies due to moral, religious, or ethical</w:t>
      </w:r>
      <w:r>
        <w:rPr>
          <w:rFonts w:ascii="Candara" w:hAnsi="Candara" w:cs="Verdana"/>
          <w:bCs/>
          <w:sz w:val="20"/>
          <w:szCs w:val="20"/>
        </w:rPr>
        <w:t xml:space="preserve"> </w:t>
      </w:r>
      <w:r>
        <w:rPr>
          <w:rFonts w:ascii="Candara" w:hAnsi="Candara" w:cs="Verdana"/>
          <w:sz w:val="20"/>
          <w:szCs w:val="20"/>
        </w:rPr>
        <w:t>reasons, proactively establish systems that protect the patient’s right to obtain legally prescribed and</w:t>
      </w:r>
      <w:r>
        <w:rPr>
          <w:rFonts w:ascii="Candara" w:hAnsi="Candara" w:cs="Verdana"/>
          <w:bCs/>
          <w:sz w:val="20"/>
          <w:szCs w:val="20"/>
        </w:rPr>
        <w:t xml:space="preserve"> </w:t>
      </w:r>
      <w:r>
        <w:rPr>
          <w:rFonts w:ascii="Candara" w:hAnsi="Candara" w:cs="Verdana"/>
          <w:sz w:val="20"/>
          <w:szCs w:val="20"/>
        </w:rPr>
        <w:t>medically indicated treatments while reasonably accommodating, in a non-punitive manner, the right of</w:t>
      </w:r>
      <w:r>
        <w:rPr>
          <w:rFonts w:ascii="Candara" w:hAnsi="Candara" w:cs="Verdana"/>
          <w:bCs/>
          <w:sz w:val="20"/>
          <w:szCs w:val="20"/>
        </w:rPr>
        <w:t xml:space="preserve"> </w:t>
      </w:r>
      <w:r>
        <w:rPr>
          <w:rFonts w:ascii="Candara" w:hAnsi="Candara" w:cs="Verdana"/>
          <w:sz w:val="20"/>
          <w:szCs w:val="20"/>
        </w:rPr>
        <w:t xml:space="preserve">conscience; further, advocates that a </w:t>
      </w:r>
      <w:r>
        <w:rPr>
          <w:rFonts w:ascii="Candara" w:hAnsi="Candara" w:cs="Verdana"/>
          <w:sz w:val="20"/>
          <w:szCs w:val="20"/>
        </w:rPr>
        <w:lastRenderedPageBreak/>
        <w:t>pharmacist or pharmacy employee exercising the right of conscience must respect and serve the legitimate health care needs and desires of the patient and</w:t>
      </w:r>
      <w:r>
        <w:rPr>
          <w:rFonts w:ascii="Candara" w:hAnsi="Candara" w:cs="Verdana"/>
          <w:bCs/>
          <w:sz w:val="20"/>
          <w:szCs w:val="20"/>
        </w:rPr>
        <w:t xml:space="preserve"> </w:t>
      </w:r>
      <w:r>
        <w:rPr>
          <w:rFonts w:ascii="Candara" w:hAnsi="Candara" w:cs="Verdana"/>
          <w:sz w:val="20"/>
          <w:szCs w:val="20"/>
        </w:rPr>
        <w:t>just provide a referral without any actions to persuade, coerce, or otherwise impose on the patient the pharmacist’s values, beliefs, or objections.</w:t>
      </w:r>
    </w:p>
    <w:p w:rsidR="00BF18A8" w:rsidRDefault="00BF18A8" w:rsidP="00066661">
      <w:pPr>
        <w:numPr>
          <w:ilvl w:val="4"/>
          <w:numId w:val="17"/>
        </w:numPr>
        <w:autoSpaceDE w:val="0"/>
        <w:autoSpaceDN w:val="0"/>
        <w:adjustRightInd w:val="0"/>
        <w:rPr>
          <w:rFonts w:ascii="Candara" w:hAnsi="Candara" w:cs="Verdana"/>
          <w:bCs/>
          <w:sz w:val="20"/>
          <w:szCs w:val="20"/>
        </w:rPr>
      </w:pPr>
      <w:r>
        <w:rPr>
          <w:rFonts w:ascii="Candara" w:hAnsi="Candara" w:cs="Verdana"/>
          <w:sz w:val="20"/>
          <w:szCs w:val="20"/>
        </w:rPr>
        <w:t>Recommend to readopt and to discuss further with Public Policy Committee</w:t>
      </w:r>
    </w:p>
    <w:p w:rsidR="00BF18A8" w:rsidRDefault="00BF18A8" w:rsidP="00066661">
      <w:pPr>
        <w:numPr>
          <w:ilvl w:val="3"/>
          <w:numId w:val="17"/>
        </w:numPr>
        <w:autoSpaceDE w:val="0"/>
        <w:autoSpaceDN w:val="0"/>
        <w:adjustRightInd w:val="0"/>
        <w:rPr>
          <w:rFonts w:ascii="Candara" w:hAnsi="Candara" w:cs="Verdana"/>
          <w:bCs/>
          <w:sz w:val="20"/>
          <w:szCs w:val="20"/>
        </w:rPr>
      </w:pPr>
      <w:r>
        <w:rPr>
          <w:rFonts w:ascii="Candara" w:hAnsi="Candara" w:cs="Verdana"/>
          <w:bCs/>
          <w:sz w:val="20"/>
          <w:szCs w:val="20"/>
        </w:rPr>
        <w:t>1-11  Medical Waste</w:t>
      </w:r>
    </w:p>
    <w:p w:rsidR="00BF18A8" w:rsidRDefault="00BF18A8" w:rsidP="00066661">
      <w:pPr>
        <w:numPr>
          <w:ilvl w:val="4"/>
          <w:numId w:val="17"/>
        </w:numPr>
        <w:autoSpaceDE w:val="0"/>
        <w:autoSpaceDN w:val="0"/>
        <w:adjustRightInd w:val="0"/>
        <w:rPr>
          <w:rFonts w:ascii="Candara" w:hAnsi="Candara" w:cs="Verdana"/>
          <w:bCs/>
          <w:sz w:val="20"/>
          <w:szCs w:val="20"/>
        </w:rPr>
      </w:pPr>
      <w:r>
        <w:rPr>
          <w:rFonts w:ascii="Candara" w:hAnsi="Candara" w:cs="Verdana"/>
          <w:bCs/>
          <w:sz w:val="20"/>
          <w:szCs w:val="20"/>
        </w:rPr>
        <w:t>(1-11) The NYSCHP supports pharmaceutical waste disposal programs for hospitals and health systems that are in accordance with Federal and New York State regulations and also comply with national accreditation standards. The NYSCHP believes that all hospital and health system personnel require a solid knowledge of what constitutes pharmaceutical waste and proper disposal of this waste. Controlled substances should be managed in accordance with DEA and NYS regulations in conjunction with Federal and NYS hazardous waste regulations. The NYSCHP further supports development of a standardized training program for all hospital and health system personnel.</w:t>
      </w:r>
    </w:p>
    <w:p w:rsidR="00BF18A8" w:rsidRDefault="00BF18A8" w:rsidP="00066661">
      <w:pPr>
        <w:numPr>
          <w:ilvl w:val="4"/>
          <w:numId w:val="17"/>
        </w:numPr>
        <w:autoSpaceDE w:val="0"/>
        <w:autoSpaceDN w:val="0"/>
        <w:adjustRightInd w:val="0"/>
        <w:rPr>
          <w:rFonts w:ascii="Candara" w:hAnsi="Candara" w:cs="Verdana"/>
          <w:bCs/>
          <w:sz w:val="20"/>
          <w:szCs w:val="20"/>
        </w:rPr>
      </w:pPr>
      <w:r>
        <w:rPr>
          <w:rFonts w:ascii="Candara" w:hAnsi="Candara" w:cs="Verdana"/>
          <w:bCs/>
          <w:sz w:val="20"/>
          <w:szCs w:val="20"/>
        </w:rPr>
        <w:t>Recommend to readopt.</w:t>
      </w:r>
    </w:p>
    <w:p w:rsidR="00BF18A8" w:rsidRDefault="00BF18A8" w:rsidP="00066661">
      <w:pPr>
        <w:numPr>
          <w:ilvl w:val="3"/>
          <w:numId w:val="17"/>
        </w:numPr>
        <w:autoSpaceDE w:val="0"/>
        <w:autoSpaceDN w:val="0"/>
        <w:adjustRightInd w:val="0"/>
        <w:rPr>
          <w:rFonts w:ascii="Candara" w:hAnsi="Candara" w:cs="Verdana"/>
          <w:bCs/>
          <w:sz w:val="20"/>
          <w:szCs w:val="20"/>
        </w:rPr>
      </w:pPr>
      <w:r>
        <w:rPr>
          <w:rFonts w:ascii="Candara" w:hAnsi="Candara" w:cs="Verdana"/>
          <w:bCs/>
          <w:sz w:val="20"/>
          <w:szCs w:val="20"/>
        </w:rPr>
        <w:t>2-11  Role of the Pharmacist in the “Medical Home” concept.</w:t>
      </w:r>
    </w:p>
    <w:p w:rsidR="00BF18A8" w:rsidRDefault="00BF18A8" w:rsidP="00066661">
      <w:pPr>
        <w:numPr>
          <w:ilvl w:val="4"/>
          <w:numId w:val="17"/>
        </w:numPr>
        <w:autoSpaceDE w:val="0"/>
        <w:autoSpaceDN w:val="0"/>
        <w:adjustRightInd w:val="0"/>
        <w:rPr>
          <w:rFonts w:ascii="Candara" w:hAnsi="Candara" w:cs="Verdana"/>
          <w:bCs/>
          <w:sz w:val="20"/>
          <w:szCs w:val="20"/>
        </w:rPr>
      </w:pPr>
      <w:r>
        <w:rPr>
          <w:rFonts w:ascii="Candara" w:hAnsi="Candara" w:cs="Verdana"/>
          <w:bCs/>
          <w:sz w:val="20"/>
          <w:szCs w:val="20"/>
        </w:rPr>
        <w:t xml:space="preserve">(2-11) </w:t>
      </w:r>
      <w:r>
        <w:rPr>
          <w:rFonts w:ascii="Candara" w:hAnsi="Candara" w:cs="Verdana"/>
          <w:bCs/>
          <w:color w:val="231F20"/>
          <w:sz w:val="20"/>
          <w:szCs w:val="20"/>
        </w:rPr>
        <w:t xml:space="preserve">The New York State Council of Health-System Pharmacists supports the </w:t>
      </w:r>
      <w:r>
        <w:rPr>
          <w:rFonts w:ascii="Candara" w:hAnsi="Candara" w:cs="Verdana"/>
          <w:bCs/>
          <w:color w:val="000000"/>
          <w:sz w:val="20"/>
          <w:szCs w:val="20"/>
        </w:rPr>
        <w:t xml:space="preserve">inclusion of pharmacists as a care provider within the health care (medical) home model. </w:t>
      </w:r>
      <w:r>
        <w:rPr>
          <w:rFonts w:ascii="Candara" w:hAnsi="Candara" w:cs="Verdana"/>
          <w:bCs/>
          <w:color w:val="231F20"/>
          <w:sz w:val="20"/>
          <w:szCs w:val="20"/>
        </w:rPr>
        <w:t>Pharmacists can affect the delivery of primary care by addressing the challenges of medication therapy management. Most office visits involve medications for chronic conditions and require assessment of medication effectiveness, and patients’ adherence with medication regimens. Pharmacists are often underused in conducting these activities. They perform comprehensive therapy reviews of prescribed and self-care medications, resolve medication-related problems, optimize complex regimens, design adherence programs, and recommend cost-effective therapies. Pharmacists should play key roles as team members in medical homes and their potential to serve effectively in this role should be evaluated as part of medical home demonstration projects.</w:t>
      </w:r>
    </w:p>
    <w:p w:rsidR="00BF18A8" w:rsidRDefault="00BF18A8" w:rsidP="00066661">
      <w:pPr>
        <w:numPr>
          <w:ilvl w:val="4"/>
          <w:numId w:val="17"/>
        </w:numPr>
        <w:autoSpaceDE w:val="0"/>
        <w:autoSpaceDN w:val="0"/>
        <w:adjustRightInd w:val="0"/>
        <w:rPr>
          <w:rFonts w:ascii="Candara" w:hAnsi="Candara" w:cs="Verdana"/>
          <w:bCs/>
          <w:sz w:val="20"/>
          <w:szCs w:val="20"/>
        </w:rPr>
      </w:pPr>
      <w:r>
        <w:rPr>
          <w:rFonts w:ascii="Candara" w:hAnsi="Candara" w:cs="Verdana"/>
          <w:bCs/>
          <w:color w:val="231F20"/>
          <w:sz w:val="20"/>
          <w:szCs w:val="20"/>
        </w:rPr>
        <w:t>Recommend to readopt and revise as follows:</w:t>
      </w:r>
    </w:p>
    <w:p w:rsidR="00BF18A8" w:rsidRDefault="00BF18A8" w:rsidP="00066661">
      <w:pPr>
        <w:autoSpaceDE w:val="0"/>
        <w:autoSpaceDN w:val="0"/>
        <w:adjustRightInd w:val="0"/>
        <w:ind w:left="3150"/>
        <w:rPr>
          <w:rFonts w:ascii="Candara" w:hAnsi="Candara" w:cs="Verdana"/>
          <w:bCs/>
          <w:sz w:val="20"/>
          <w:szCs w:val="20"/>
        </w:rPr>
      </w:pPr>
      <w:r>
        <w:rPr>
          <w:rFonts w:ascii="Candara" w:hAnsi="Candara" w:cs="Verdana"/>
          <w:bCs/>
          <w:color w:val="231F20"/>
          <w:sz w:val="20"/>
          <w:szCs w:val="20"/>
        </w:rPr>
        <w:t xml:space="preserve"> </w:t>
      </w:r>
      <w:r>
        <w:rPr>
          <w:rFonts w:ascii="Candara" w:hAnsi="Candara" w:cs="Verdana"/>
          <w:bCs/>
          <w:sz w:val="20"/>
          <w:szCs w:val="20"/>
        </w:rPr>
        <w:t xml:space="preserve">(2-11) Role of the Pharmacist in the “Medical Home” : </w:t>
      </w:r>
      <w:r>
        <w:rPr>
          <w:rFonts w:ascii="Candara" w:hAnsi="Candara" w:cs="Verdana"/>
          <w:bCs/>
          <w:color w:val="231F20"/>
          <w:sz w:val="20"/>
          <w:szCs w:val="20"/>
        </w:rPr>
        <w:t xml:space="preserve">The New York State Council of Health-System Pharmacists supports the </w:t>
      </w:r>
      <w:r>
        <w:rPr>
          <w:rFonts w:ascii="Candara" w:hAnsi="Candara" w:cs="Verdana"/>
          <w:bCs/>
          <w:color w:val="000000"/>
          <w:sz w:val="20"/>
          <w:szCs w:val="20"/>
        </w:rPr>
        <w:t xml:space="preserve">inclusion of pharmacists as a care provider within the health care (medical) home model. </w:t>
      </w:r>
      <w:r>
        <w:rPr>
          <w:rFonts w:ascii="Candara" w:hAnsi="Candara" w:cs="Verdana"/>
          <w:bCs/>
          <w:color w:val="231F20"/>
          <w:sz w:val="20"/>
          <w:szCs w:val="20"/>
        </w:rPr>
        <w:t>Pharmacists can affect the delivery of primary care by addressing the challenges of medication therapy management. Most office visits involve medications for chronic conditions and require assessment of medication effectiveness, and patients’ adherence with medication regimens. Pharmacists are often underused in conducting these activities. They perform comprehensive therapy reviews of prescribed and self-care medications, resolve medication-related problems, optimize complex regimens, design adherence programs, and recommend cost-effective therapies. Pharmacists should play key roles as team members in medical homes.</w:t>
      </w:r>
    </w:p>
    <w:p w:rsidR="00BF18A8" w:rsidRDefault="00BF18A8" w:rsidP="00066661">
      <w:pPr>
        <w:numPr>
          <w:ilvl w:val="2"/>
          <w:numId w:val="17"/>
        </w:numPr>
        <w:rPr>
          <w:rFonts w:ascii="Candara" w:hAnsi="Candara"/>
          <w:sz w:val="20"/>
          <w:szCs w:val="20"/>
        </w:rPr>
      </w:pPr>
      <w:r>
        <w:rPr>
          <w:rFonts w:ascii="Candara" w:hAnsi="Candara"/>
          <w:sz w:val="20"/>
          <w:szCs w:val="20"/>
        </w:rPr>
        <w:t>Review the position statement on the “handling of hazardous drugs” to include potential new guidelines that will in the final USP Chapter 800 report 2014</w:t>
      </w:r>
    </w:p>
    <w:p w:rsidR="00BF18A8" w:rsidRDefault="00BF18A8" w:rsidP="00066661">
      <w:pPr>
        <w:numPr>
          <w:ilvl w:val="3"/>
          <w:numId w:val="17"/>
        </w:numPr>
        <w:rPr>
          <w:rFonts w:ascii="Candara" w:hAnsi="Candara"/>
          <w:sz w:val="20"/>
          <w:szCs w:val="20"/>
        </w:rPr>
      </w:pPr>
      <w:r>
        <w:rPr>
          <w:rFonts w:ascii="Candara" w:hAnsi="Candara"/>
          <w:sz w:val="20"/>
          <w:szCs w:val="20"/>
        </w:rPr>
        <w:t>Joint review with VP, Public Policy</w:t>
      </w:r>
    </w:p>
    <w:p w:rsidR="00BF769A" w:rsidRDefault="00BF18A8" w:rsidP="00066661">
      <w:pPr>
        <w:numPr>
          <w:ilvl w:val="3"/>
          <w:numId w:val="17"/>
        </w:numPr>
        <w:rPr>
          <w:rFonts w:ascii="Candara" w:hAnsi="Candara"/>
          <w:sz w:val="20"/>
          <w:szCs w:val="20"/>
        </w:rPr>
      </w:pPr>
      <w:r>
        <w:rPr>
          <w:rFonts w:ascii="Candara" w:hAnsi="Candara"/>
          <w:sz w:val="20"/>
          <w:szCs w:val="20"/>
        </w:rPr>
        <w:t xml:space="preserve">ASHP does not have a policy statement in regards to the handling of hazardous drugs. </w:t>
      </w:r>
    </w:p>
    <w:p w:rsidR="00BF769A" w:rsidRDefault="00BF769A" w:rsidP="00066661">
      <w:pPr>
        <w:numPr>
          <w:ilvl w:val="3"/>
          <w:numId w:val="17"/>
        </w:numPr>
        <w:rPr>
          <w:rFonts w:ascii="Candara" w:hAnsi="Candara"/>
          <w:sz w:val="20"/>
          <w:szCs w:val="20"/>
        </w:rPr>
      </w:pPr>
      <w:r>
        <w:rPr>
          <w:rFonts w:ascii="Candara" w:hAnsi="Candara"/>
          <w:sz w:val="20"/>
          <w:szCs w:val="20"/>
        </w:rPr>
        <w:t>Part 800 has not yet been passed.</w:t>
      </w:r>
    </w:p>
    <w:p w:rsidR="00BF18A8" w:rsidRDefault="00BF18A8" w:rsidP="00066661">
      <w:pPr>
        <w:numPr>
          <w:ilvl w:val="3"/>
          <w:numId w:val="17"/>
        </w:numPr>
        <w:rPr>
          <w:rFonts w:ascii="Candara" w:hAnsi="Candara"/>
          <w:sz w:val="20"/>
          <w:szCs w:val="20"/>
        </w:rPr>
      </w:pPr>
      <w:r>
        <w:rPr>
          <w:rFonts w:ascii="Candara" w:hAnsi="Candara"/>
          <w:sz w:val="20"/>
          <w:szCs w:val="20"/>
        </w:rPr>
        <w:t xml:space="preserve">The committee recommends </w:t>
      </w:r>
      <w:r w:rsidR="00BF769A">
        <w:rPr>
          <w:rFonts w:ascii="Candara" w:hAnsi="Candara"/>
          <w:sz w:val="20"/>
          <w:szCs w:val="20"/>
        </w:rPr>
        <w:t>tabling this position statement until more information is available</w:t>
      </w:r>
      <w:r>
        <w:rPr>
          <w:rFonts w:ascii="Candara" w:hAnsi="Candara"/>
          <w:sz w:val="20"/>
          <w:szCs w:val="20"/>
        </w:rPr>
        <w:t>.</w:t>
      </w:r>
    </w:p>
    <w:p w:rsidR="00BF769A" w:rsidRDefault="00BF769A" w:rsidP="00BF769A">
      <w:pPr>
        <w:numPr>
          <w:ilvl w:val="2"/>
          <w:numId w:val="17"/>
        </w:numPr>
        <w:rPr>
          <w:rFonts w:ascii="Candara" w:hAnsi="Candara"/>
          <w:sz w:val="20"/>
          <w:szCs w:val="20"/>
        </w:rPr>
      </w:pPr>
      <w:r>
        <w:rPr>
          <w:rFonts w:ascii="Candara" w:hAnsi="Candara"/>
          <w:sz w:val="20"/>
          <w:szCs w:val="20"/>
        </w:rPr>
        <w:t>Review the position statement on “credentialing of pharmacists who provide CDTM”</w:t>
      </w:r>
    </w:p>
    <w:p w:rsidR="00BF769A" w:rsidRPr="00BF769A" w:rsidRDefault="00BF769A" w:rsidP="00BD3772">
      <w:pPr>
        <w:numPr>
          <w:ilvl w:val="3"/>
          <w:numId w:val="17"/>
        </w:numPr>
        <w:rPr>
          <w:rFonts w:asciiTheme="majorHAnsi" w:hAnsiTheme="majorHAnsi" w:cs="Arial"/>
          <w:sz w:val="20"/>
          <w:szCs w:val="20"/>
        </w:rPr>
      </w:pPr>
      <w:r w:rsidRPr="00BF769A">
        <w:rPr>
          <w:rFonts w:asciiTheme="majorHAnsi" w:hAnsiTheme="majorHAnsi"/>
          <w:sz w:val="20"/>
          <w:szCs w:val="20"/>
        </w:rPr>
        <w:t xml:space="preserve"> </w:t>
      </w:r>
      <w:r w:rsidRPr="00BF769A">
        <w:rPr>
          <w:rFonts w:asciiTheme="majorHAnsi" w:hAnsiTheme="majorHAnsi" w:cs="Arial"/>
          <w:sz w:val="20"/>
          <w:szCs w:val="20"/>
        </w:rPr>
        <w:t xml:space="preserve">(7-14) The New York State Council of Health-system Pharmacists supports the recognition of pharmacists who perform CDTM to reflect such credentialing beyond the borders of an article 28 facility. Credentialed pharmacists should be enabled to practice to the extent of their scope of practice in all settings. </w:t>
      </w:r>
    </w:p>
    <w:p w:rsidR="00BF769A" w:rsidRPr="00BF769A" w:rsidRDefault="00BF769A" w:rsidP="00BF769A">
      <w:pPr>
        <w:numPr>
          <w:ilvl w:val="3"/>
          <w:numId w:val="17"/>
        </w:numPr>
        <w:rPr>
          <w:rFonts w:asciiTheme="majorHAnsi" w:hAnsiTheme="majorHAnsi"/>
          <w:sz w:val="20"/>
          <w:szCs w:val="20"/>
        </w:rPr>
      </w:pPr>
      <w:r w:rsidRPr="00BF769A">
        <w:rPr>
          <w:rFonts w:asciiTheme="majorHAnsi" w:hAnsiTheme="majorHAnsi"/>
          <w:sz w:val="20"/>
          <w:szCs w:val="20"/>
        </w:rPr>
        <w:t>Two ASHP policy statements were reviewed. ASHP 0905 applies most closely to (7-14)</w:t>
      </w:r>
      <w:r>
        <w:rPr>
          <w:rFonts w:asciiTheme="majorHAnsi" w:hAnsiTheme="majorHAnsi"/>
          <w:sz w:val="20"/>
          <w:szCs w:val="20"/>
        </w:rPr>
        <w:t xml:space="preserve"> and the committee is continuing discussions on the need for modifications to (7-14).</w:t>
      </w:r>
    </w:p>
    <w:p w:rsidR="00BF769A" w:rsidRPr="00BF769A" w:rsidRDefault="00BF769A" w:rsidP="00BF769A">
      <w:pPr>
        <w:pStyle w:val="PolicyNumberTitle"/>
        <w:ind w:left="2880"/>
        <w:rPr>
          <w:rFonts w:asciiTheme="majorHAnsi" w:hAnsiTheme="majorHAnsi"/>
          <w:b w:val="0"/>
          <w:sz w:val="20"/>
          <w:szCs w:val="20"/>
        </w:rPr>
      </w:pPr>
      <w:bookmarkStart w:id="1" w:name="_Toc424652745"/>
      <w:r w:rsidRPr="00BF769A">
        <w:rPr>
          <w:rFonts w:asciiTheme="majorHAnsi" w:hAnsiTheme="majorHAnsi"/>
          <w:b w:val="0"/>
          <w:sz w:val="20"/>
          <w:szCs w:val="20"/>
        </w:rPr>
        <w:t>0905</w:t>
      </w:r>
      <w:bookmarkEnd w:id="1"/>
      <w:r w:rsidRPr="00BF769A">
        <w:rPr>
          <w:rFonts w:asciiTheme="majorHAnsi" w:hAnsiTheme="majorHAnsi"/>
          <w:b w:val="0"/>
          <w:sz w:val="20"/>
          <w:szCs w:val="20"/>
        </w:rPr>
        <w:t xml:space="preserve"> </w:t>
      </w:r>
      <w:bookmarkStart w:id="2" w:name="_Toc266973483"/>
      <w:bookmarkStart w:id="3" w:name="_Toc268700882"/>
      <w:bookmarkStart w:id="4" w:name="_Toc268706449"/>
      <w:bookmarkStart w:id="5" w:name="_Toc298830669"/>
      <w:bookmarkStart w:id="6" w:name="_Toc330886578"/>
      <w:bookmarkStart w:id="7" w:name="_Toc363473343"/>
      <w:bookmarkStart w:id="8" w:name="_Toc363549129"/>
      <w:bookmarkStart w:id="9" w:name="_Toc363550043"/>
      <w:bookmarkStart w:id="10" w:name="_Toc394403938"/>
      <w:bookmarkStart w:id="11" w:name="_Toc424647798"/>
      <w:bookmarkStart w:id="12" w:name="_Toc424648805"/>
      <w:bookmarkStart w:id="13" w:name="_Toc424651739"/>
      <w:bookmarkStart w:id="14" w:name="_Toc424652746"/>
      <w:bookmarkEnd w:id="2"/>
      <w:bookmarkEnd w:id="3"/>
      <w:bookmarkEnd w:id="4"/>
      <w:bookmarkEnd w:id="5"/>
      <w:bookmarkEnd w:id="6"/>
      <w:bookmarkEnd w:id="7"/>
      <w:bookmarkEnd w:id="8"/>
      <w:bookmarkEnd w:id="9"/>
      <w:bookmarkEnd w:id="10"/>
      <w:bookmarkEnd w:id="11"/>
      <w:bookmarkEnd w:id="12"/>
      <w:bookmarkEnd w:id="13"/>
      <w:r w:rsidRPr="00BF769A">
        <w:rPr>
          <w:rFonts w:asciiTheme="majorHAnsi" w:hAnsiTheme="majorHAnsi"/>
          <w:b w:val="0"/>
          <w:sz w:val="20"/>
          <w:szCs w:val="20"/>
        </w:rPr>
        <w:t>CREDENTIALING AND PRIVILEGING BY REGULATORS, PAYERS, AND PROVIDERS FOR COLLABORATIVE DRUG THERAPY MANAGEMENT</w:t>
      </w:r>
      <w:bookmarkEnd w:id="14"/>
    </w:p>
    <w:p w:rsidR="00BF769A" w:rsidRPr="00BF769A" w:rsidRDefault="00BF769A" w:rsidP="00BF769A">
      <w:pPr>
        <w:pStyle w:val="Source"/>
        <w:ind w:left="2880"/>
        <w:rPr>
          <w:rFonts w:asciiTheme="majorHAnsi" w:hAnsiTheme="majorHAnsi"/>
          <w:sz w:val="20"/>
          <w:szCs w:val="20"/>
        </w:rPr>
      </w:pPr>
      <w:r w:rsidRPr="00BF769A">
        <w:rPr>
          <w:rFonts w:asciiTheme="majorHAnsi" w:hAnsiTheme="majorHAnsi"/>
          <w:sz w:val="20"/>
          <w:szCs w:val="20"/>
        </w:rPr>
        <w:t>Source: Council on Public Policy</w:t>
      </w:r>
    </w:p>
    <w:p w:rsidR="00BF769A" w:rsidRPr="00BF769A" w:rsidRDefault="00BF769A" w:rsidP="00BF769A">
      <w:pPr>
        <w:ind w:left="2880"/>
        <w:rPr>
          <w:rFonts w:asciiTheme="majorHAnsi" w:hAnsiTheme="majorHAnsi"/>
          <w:sz w:val="20"/>
          <w:szCs w:val="20"/>
        </w:rPr>
      </w:pPr>
      <w:r w:rsidRPr="00BF769A">
        <w:rPr>
          <w:rFonts w:asciiTheme="majorHAnsi" w:hAnsiTheme="majorHAnsi"/>
          <w:sz w:val="20"/>
          <w:szCs w:val="20"/>
        </w:rPr>
        <w:t>            To advocate expansion of collaborative drug therapy management (CDTM) practices in which the prescriber and the licensed pharmacist agree upon the conditions under which the pharmacist initiates, monitors, and adjusts a patient’s drug therapy; further,</w:t>
      </w:r>
    </w:p>
    <w:p w:rsidR="00BF769A" w:rsidRPr="00BF769A" w:rsidRDefault="00BF769A" w:rsidP="00BF769A">
      <w:pPr>
        <w:ind w:left="2880"/>
        <w:rPr>
          <w:rFonts w:asciiTheme="majorHAnsi" w:hAnsiTheme="majorHAnsi"/>
          <w:sz w:val="20"/>
          <w:szCs w:val="20"/>
        </w:rPr>
      </w:pPr>
      <w:r w:rsidRPr="00BF769A">
        <w:rPr>
          <w:rFonts w:asciiTheme="majorHAnsi" w:hAnsiTheme="majorHAnsi"/>
          <w:sz w:val="20"/>
          <w:szCs w:val="20"/>
        </w:rPr>
        <w:t>            To acknowledge that as a step toward the goal of universal recognition of and payment for pharmacist CDTM services, public or private third-party payers may require licensed pharmacists to demonstrate their competence to provide CDTM, before the payers authorize them to engage in or be paid for such clinical services; further,</w:t>
      </w:r>
    </w:p>
    <w:p w:rsidR="00BF769A" w:rsidRPr="00BF769A" w:rsidRDefault="00BF769A" w:rsidP="00BF769A">
      <w:pPr>
        <w:ind w:left="2880"/>
        <w:rPr>
          <w:rFonts w:asciiTheme="majorHAnsi" w:hAnsiTheme="majorHAnsi"/>
          <w:sz w:val="20"/>
          <w:szCs w:val="20"/>
        </w:rPr>
      </w:pPr>
      <w:r w:rsidRPr="00BF769A">
        <w:rPr>
          <w:rFonts w:asciiTheme="majorHAnsi" w:hAnsiTheme="majorHAnsi"/>
          <w:sz w:val="20"/>
          <w:szCs w:val="20"/>
        </w:rPr>
        <w:lastRenderedPageBreak/>
        <w:t>            To support (1) the development (as a professional initiative by pharmacist associations rather than as a government activity) of national standards for determining a pharmacist’s competence to provide CDTM and (2) the appropriate use of these standards by clinical privileging systems, government authorities, and public or third-party payers; further,</w:t>
      </w:r>
    </w:p>
    <w:p w:rsidR="00BF769A" w:rsidRPr="00BF769A" w:rsidRDefault="00BF769A" w:rsidP="00BF769A">
      <w:pPr>
        <w:ind w:left="2880"/>
        <w:rPr>
          <w:rFonts w:asciiTheme="majorHAnsi" w:hAnsiTheme="majorHAnsi"/>
          <w:sz w:val="20"/>
          <w:szCs w:val="20"/>
        </w:rPr>
      </w:pPr>
      <w:r w:rsidRPr="00BF769A">
        <w:rPr>
          <w:rFonts w:asciiTheme="majorHAnsi" w:hAnsiTheme="majorHAnsi"/>
          <w:sz w:val="20"/>
          <w:szCs w:val="20"/>
        </w:rPr>
        <w:t>            To support the use of clinical privileging by hospitals and health systems to assess a licensed pharmacist’s competence to engage in CDTM within the hospital or health system; further,</w:t>
      </w:r>
    </w:p>
    <w:p w:rsidR="00BF769A" w:rsidRPr="00BF769A" w:rsidRDefault="00BF769A" w:rsidP="00BF769A">
      <w:pPr>
        <w:ind w:left="2880"/>
        <w:rPr>
          <w:rFonts w:asciiTheme="majorHAnsi" w:hAnsiTheme="majorHAnsi"/>
          <w:sz w:val="20"/>
          <w:szCs w:val="20"/>
        </w:rPr>
      </w:pPr>
      <w:r w:rsidRPr="00BF769A">
        <w:rPr>
          <w:rFonts w:asciiTheme="majorHAnsi" w:hAnsiTheme="majorHAnsi"/>
          <w:sz w:val="20"/>
          <w:szCs w:val="20"/>
        </w:rPr>
        <w:t>            To advocate that state boards of pharmacy apply the principles of continuous quality improvement in assessing the quality, safety, and outcomes of CDTM.</w:t>
      </w:r>
    </w:p>
    <w:p w:rsidR="00BF769A" w:rsidRDefault="00BF769A" w:rsidP="00BF769A">
      <w:pPr>
        <w:ind w:left="2880"/>
        <w:rPr>
          <w:rFonts w:asciiTheme="majorHAnsi" w:hAnsiTheme="majorHAnsi"/>
          <w:sz w:val="20"/>
          <w:szCs w:val="20"/>
        </w:rPr>
      </w:pPr>
      <w:r w:rsidRPr="00BF769A">
        <w:rPr>
          <w:rFonts w:asciiTheme="majorHAnsi" w:hAnsiTheme="majorHAnsi"/>
          <w:sz w:val="20"/>
          <w:szCs w:val="20"/>
        </w:rPr>
        <w:t>            (</w:t>
      </w:r>
      <w:r w:rsidRPr="00BF769A">
        <w:rPr>
          <w:rFonts w:asciiTheme="majorHAnsi" w:hAnsiTheme="majorHAnsi"/>
          <w:i/>
          <w:iCs/>
          <w:sz w:val="20"/>
          <w:szCs w:val="20"/>
        </w:rPr>
        <w:t>Note:</w:t>
      </w:r>
      <w:r w:rsidRPr="00BF769A">
        <w:rPr>
          <w:rFonts w:asciiTheme="majorHAnsi" w:hAnsiTheme="majorHAnsi"/>
          <w:sz w:val="20"/>
          <w:szCs w:val="20"/>
        </w:rPr>
        <w:t xml:space="preserve"> “Privileging” is the process by which an oversight body of a health care organization or other appropriate provider body, having reviewed an individual health care provider’s credentials and performance and found them satisfactory, authorizes that individual to perform a specific scope of patient care services within that setting.)</w:t>
      </w:r>
    </w:p>
    <w:p w:rsidR="00BF769A" w:rsidRDefault="00BF769A" w:rsidP="00BF769A">
      <w:pPr>
        <w:ind w:left="2880"/>
        <w:rPr>
          <w:rFonts w:asciiTheme="majorHAnsi" w:hAnsiTheme="majorHAnsi"/>
          <w:sz w:val="20"/>
          <w:szCs w:val="20"/>
        </w:rPr>
      </w:pPr>
    </w:p>
    <w:p w:rsidR="00BF769A" w:rsidRPr="00BF769A" w:rsidRDefault="00BF769A" w:rsidP="00BF769A">
      <w:pPr>
        <w:ind w:left="2520"/>
        <w:rPr>
          <w:rFonts w:asciiTheme="majorHAnsi" w:hAnsiTheme="majorHAnsi"/>
        </w:rPr>
      </w:pPr>
    </w:p>
    <w:p w:rsidR="00BF769A" w:rsidRPr="00BF769A" w:rsidRDefault="00BF769A" w:rsidP="00BF769A">
      <w:pPr>
        <w:ind w:left="2880"/>
        <w:rPr>
          <w:rFonts w:asciiTheme="majorHAnsi" w:hAnsiTheme="majorHAnsi"/>
          <w:sz w:val="20"/>
          <w:szCs w:val="20"/>
        </w:rPr>
      </w:pPr>
    </w:p>
    <w:p w:rsidR="00A94882" w:rsidRPr="00BF769A" w:rsidRDefault="00A94882" w:rsidP="00A94882">
      <w:pPr>
        <w:numPr>
          <w:ilvl w:val="1"/>
          <w:numId w:val="17"/>
        </w:numPr>
        <w:rPr>
          <w:rFonts w:asciiTheme="majorHAnsi" w:hAnsiTheme="majorHAnsi"/>
          <w:b/>
          <w:sz w:val="20"/>
          <w:szCs w:val="20"/>
        </w:rPr>
      </w:pPr>
      <w:r w:rsidRPr="00BF769A">
        <w:rPr>
          <w:rFonts w:asciiTheme="majorHAnsi" w:hAnsiTheme="majorHAnsi"/>
          <w:b/>
          <w:sz w:val="20"/>
          <w:szCs w:val="20"/>
        </w:rPr>
        <w:t>Support Personnel</w:t>
      </w:r>
    </w:p>
    <w:p w:rsidR="00A94882" w:rsidRPr="00BF769A" w:rsidRDefault="00A94882" w:rsidP="00A94882">
      <w:pPr>
        <w:numPr>
          <w:ilvl w:val="2"/>
          <w:numId w:val="12"/>
        </w:numPr>
        <w:overflowPunct w:val="0"/>
        <w:autoSpaceDE w:val="0"/>
        <w:autoSpaceDN w:val="0"/>
        <w:adjustRightInd w:val="0"/>
        <w:textAlignment w:val="baseline"/>
        <w:rPr>
          <w:rFonts w:asciiTheme="majorHAnsi" w:hAnsiTheme="majorHAnsi"/>
          <w:sz w:val="20"/>
          <w:szCs w:val="20"/>
        </w:rPr>
      </w:pPr>
      <w:r w:rsidRPr="00BF769A">
        <w:rPr>
          <w:rFonts w:asciiTheme="majorHAnsi" w:hAnsiTheme="majorHAnsi"/>
          <w:b/>
          <w:sz w:val="20"/>
          <w:szCs w:val="20"/>
          <w:u w:val="single"/>
        </w:rPr>
        <w:t>Purpose</w:t>
      </w:r>
      <w:r w:rsidRPr="00BF769A">
        <w:rPr>
          <w:rFonts w:asciiTheme="majorHAnsi" w:hAnsiTheme="majorHAnsi"/>
          <w:b/>
          <w:sz w:val="20"/>
          <w:szCs w:val="20"/>
        </w:rPr>
        <w:t>:</w:t>
      </w:r>
      <w:r w:rsidRPr="00BF769A">
        <w:rPr>
          <w:rFonts w:asciiTheme="majorHAnsi" w:hAnsiTheme="majorHAnsi"/>
          <w:sz w:val="20"/>
          <w:szCs w:val="20"/>
        </w:rPr>
        <w:t xml:space="preserve"> To act as a catalyst for issues regarding the use of support personnel in pharmacy practice.  The Committee should function as a Council resource on duties and standards for the employment of support personnel.</w:t>
      </w:r>
    </w:p>
    <w:p w:rsidR="00A94882" w:rsidRPr="00BF769A" w:rsidRDefault="00A94882" w:rsidP="00A94882">
      <w:pPr>
        <w:rPr>
          <w:rFonts w:asciiTheme="majorHAnsi" w:hAnsiTheme="majorHAnsi"/>
          <w:sz w:val="20"/>
          <w:szCs w:val="20"/>
        </w:rPr>
      </w:pPr>
    </w:p>
    <w:p w:rsidR="00A94882" w:rsidRPr="00BF769A" w:rsidRDefault="00A94882" w:rsidP="00A94882">
      <w:pPr>
        <w:numPr>
          <w:ilvl w:val="2"/>
          <w:numId w:val="12"/>
        </w:numPr>
        <w:overflowPunct w:val="0"/>
        <w:autoSpaceDE w:val="0"/>
        <w:autoSpaceDN w:val="0"/>
        <w:adjustRightInd w:val="0"/>
        <w:textAlignment w:val="baseline"/>
        <w:rPr>
          <w:rFonts w:asciiTheme="majorHAnsi" w:hAnsiTheme="majorHAnsi"/>
          <w:sz w:val="20"/>
          <w:szCs w:val="20"/>
        </w:rPr>
      </w:pPr>
      <w:r w:rsidRPr="00BF769A">
        <w:rPr>
          <w:rFonts w:asciiTheme="majorHAnsi" w:hAnsiTheme="majorHAnsi"/>
          <w:b/>
          <w:sz w:val="20"/>
          <w:szCs w:val="20"/>
          <w:u w:val="single"/>
        </w:rPr>
        <w:t>Membership</w:t>
      </w:r>
    </w:p>
    <w:p w:rsidR="00A94882" w:rsidRPr="00BF769A" w:rsidRDefault="00A94882" w:rsidP="00A94882">
      <w:pPr>
        <w:numPr>
          <w:ilvl w:val="3"/>
          <w:numId w:val="12"/>
        </w:numPr>
        <w:rPr>
          <w:rFonts w:asciiTheme="majorHAnsi" w:hAnsiTheme="majorHAnsi"/>
          <w:color w:val="000000"/>
          <w:sz w:val="20"/>
          <w:szCs w:val="20"/>
        </w:rPr>
      </w:pPr>
      <w:smartTag w:uri="urn:schemas-microsoft-com:office:smarttags" w:element="PersonName">
        <w:r w:rsidRPr="00BF769A">
          <w:rPr>
            <w:rFonts w:asciiTheme="majorHAnsi" w:hAnsiTheme="majorHAnsi"/>
            <w:color w:val="000000"/>
            <w:sz w:val="20"/>
            <w:szCs w:val="20"/>
          </w:rPr>
          <w:t>Rob</w:t>
        </w:r>
      </w:smartTag>
      <w:r w:rsidRPr="00BF769A">
        <w:rPr>
          <w:rFonts w:asciiTheme="majorHAnsi" w:hAnsiTheme="majorHAnsi"/>
          <w:color w:val="000000"/>
          <w:sz w:val="20"/>
          <w:szCs w:val="20"/>
        </w:rPr>
        <w:t>ert DiGregorio, BOD</w:t>
      </w:r>
    </w:p>
    <w:p w:rsidR="00A55B5D" w:rsidRPr="00BF769A" w:rsidRDefault="00A55B5D" w:rsidP="00A55B5D">
      <w:pPr>
        <w:numPr>
          <w:ilvl w:val="3"/>
          <w:numId w:val="12"/>
        </w:numPr>
        <w:rPr>
          <w:rFonts w:asciiTheme="majorHAnsi" w:hAnsiTheme="majorHAnsi"/>
          <w:color w:val="000000"/>
          <w:sz w:val="20"/>
          <w:szCs w:val="20"/>
        </w:rPr>
      </w:pPr>
      <w:r w:rsidRPr="00BF769A">
        <w:rPr>
          <w:rFonts w:asciiTheme="majorHAnsi" w:hAnsiTheme="majorHAnsi"/>
          <w:bCs/>
          <w:color w:val="000000"/>
          <w:sz w:val="20"/>
          <w:szCs w:val="20"/>
        </w:rPr>
        <w:t>Matthew Rewald</w:t>
      </w:r>
      <w:r w:rsidRPr="00BF769A">
        <w:rPr>
          <w:rFonts w:asciiTheme="majorHAnsi" w:hAnsiTheme="majorHAnsi"/>
          <w:color w:val="000000"/>
          <w:sz w:val="20"/>
          <w:szCs w:val="20"/>
        </w:rPr>
        <w:t>(Technician) [Chair]</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color w:val="000000"/>
          <w:sz w:val="20"/>
          <w:szCs w:val="20"/>
        </w:rPr>
        <w:t>Adam Chesler (Technician)</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cs="Segoe UI"/>
          <w:color w:val="000000"/>
          <w:sz w:val="20"/>
          <w:szCs w:val="20"/>
        </w:rPr>
        <w:t>Maria Claudio (Pharmacist)</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cs="Segoe UI"/>
          <w:color w:val="000000"/>
          <w:sz w:val="20"/>
          <w:szCs w:val="20"/>
        </w:rPr>
        <w:t>Andrew Cordiale</w:t>
      </w:r>
      <w:r w:rsidRPr="00BF769A">
        <w:rPr>
          <w:rFonts w:asciiTheme="majorHAnsi" w:hAnsiTheme="majorHAnsi"/>
          <w:color w:val="000000"/>
          <w:sz w:val="20"/>
          <w:szCs w:val="20"/>
        </w:rPr>
        <w:t>(Technician)</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color w:val="000000"/>
          <w:sz w:val="20"/>
          <w:szCs w:val="20"/>
        </w:rPr>
        <w:t>Shaun Flynn (Council Office)</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color w:val="000000"/>
          <w:sz w:val="20"/>
          <w:szCs w:val="20"/>
        </w:rPr>
        <w:t>Zach Green (Technician)</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color w:val="000000"/>
          <w:sz w:val="20"/>
          <w:szCs w:val="20"/>
        </w:rPr>
        <w:t>Andrew Lam (Pharmacist)</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color w:val="000000"/>
          <w:sz w:val="20"/>
          <w:szCs w:val="20"/>
        </w:rPr>
        <w:t>Jayson Myers (Technician)</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color w:val="000000"/>
          <w:sz w:val="20"/>
          <w:szCs w:val="20"/>
        </w:rPr>
        <w:t>Hannah Peabody (Technician)</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bCs/>
          <w:color w:val="000000"/>
          <w:sz w:val="20"/>
          <w:szCs w:val="20"/>
        </w:rPr>
        <w:t>Victoria E. V. Earle-Reed</w:t>
      </w:r>
      <w:r w:rsidRPr="00BF769A">
        <w:rPr>
          <w:rFonts w:asciiTheme="majorHAnsi" w:hAnsiTheme="majorHAnsi"/>
          <w:color w:val="000000"/>
          <w:sz w:val="20"/>
          <w:szCs w:val="20"/>
        </w:rPr>
        <w:t>(Technician)</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cs="Segoe UI"/>
          <w:color w:val="000000"/>
          <w:sz w:val="20"/>
          <w:szCs w:val="20"/>
        </w:rPr>
        <w:t>Courtney L. Tam (Pharmacist)</w:t>
      </w:r>
    </w:p>
    <w:p w:rsidR="00A55B5D" w:rsidRPr="00BF769A" w:rsidRDefault="00A55B5D" w:rsidP="00A94882">
      <w:pPr>
        <w:numPr>
          <w:ilvl w:val="3"/>
          <w:numId w:val="12"/>
        </w:numPr>
        <w:rPr>
          <w:rFonts w:asciiTheme="majorHAnsi" w:hAnsiTheme="majorHAnsi"/>
          <w:color w:val="000000"/>
          <w:sz w:val="20"/>
          <w:szCs w:val="20"/>
        </w:rPr>
      </w:pPr>
      <w:r w:rsidRPr="00BF769A">
        <w:rPr>
          <w:rFonts w:asciiTheme="majorHAnsi" w:hAnsiTheme="majorHAnsi" w:cs="Segoe UI"/>
          <w:color w:val="000000"/>
          <w:sz w:val="20"/>
          <w:szCs w:val="20"/>
        </w:rPr>
        <w:t>Cynthia Stewart (Technician)</w:t>
      </w:r>
    </w:p>
    <w:p w:rsidR="00A94882" w:rsidRPr="00BF769A" w:rsidRDefault="00A94882" w:rsidP="00A94882">
      <w:pPr>
        <w:ind w:left="2160"/>
        <w:rPr>
          <w:rFonts w:asciiTheme="majorHAnsi" w:hAnsiTheme="majorHAnsi"/>
          <w:sz w:val="20"/>
          <w:szCs w:val="20"/>
        </w:rPr>
      </w:pPr>
    </w:p>
    <w:p w:rsidR="00A94882" w:rsidRPr="00BF769A" w:rsidRDefault="00A94882" w:rsidP="00A94882">
      <w:pPr>
        <w:numPr>
          <w:ilvl w:val="2"/>
          <w:numId w:val="12"/>
        </w:numPr>
        <w:rPr>
          <w:rFonts w:asciiTheme="majorHAnsi" w:hAnsiTheme="majorHAnsi"/>
          <w:color w:val="000000"/>
          <w:sz w:val="20"/>
          <w:szCs w:val="20"/>
        </w:rPr>
      </w:pPr>
      <w:r w:rsidRPr="00BF769A">
        <w:rPr>
          <w:rFonts w:asciiTheme="majorHAnsi" w:hAnsiTheme="majorHAnsi" w:cs="Segoe UI"/>
          <w:color w:val="000000"/>
          <w:sz w:val="20"/>
          <w:szCs w:val="20"/>
          <w:u w:val="single"/>
        </w:rPr>
        <w:t>Meeting Dates:</w:t>
      </w:r>
      <w:r w:rsidRPr="00BF769A">
        <w:rPr>
          <w:rFonts w:asciiTheme="majorHAnsi" w:hAnsiTheme="majorHAnsi" w:cs="Segoe UI"/>
          <w:color w:val="000000"/>
          <w:sz w:val="20"/>
          <w:szCs w:val="20"/>
        </w:rPr>
        <w:t xml:space="preserve">  </w:t>
      </w:r>
    </w:p>
    <w:p w:rsidR="00A55B5D" w:rsidRPr="00BF769A" w:rsidRDefault="00A55B5D" w:rsidP="00A94882">
      <w:pPr>
        <w:numPr>
          <w:ilvl w:val="3"/>
          <w:numId w:val="12"/>
        </w:numPr>
        <w:rPr>
          <w:rFonts w:asciiTheme="majorHAnsi" w:hAnsiTheme="majorHAnsi"/>
          <w:color w:val="000000"/>
          <w:sz w:val="20"/>
          <w:szCs w:val="20"/>
        </w:rPr>
      </w:pPr>
      <w:r w:rsidRPr="00BF769A">
        <w:rPr>
          <w:rFonts w:asciiTheme="majorHAnsi" w:hAnsiTheme="majorHAnsi"/>
          <w:color w:val="000000"/>
          <w:sz w:val="20"/>
          <w:szCs w:val="20"/>
        </w:rPr>
        <w:t>June 2, 2015 (cancelled)</w:t>
      </w:r>
    </w:p>
    <w:p w:rsidR="00A55B5D" w:rsidRPr="00BF769A" w:rsidRDefault="00A55B5D" w:rsidP="00A94882">
      <w:pPr>
        <w:numPr>
          <w:ilvl w:val="3"/>
          <w:numId w:val="12"/>
        </w:numPr>
        <w:rPr>
          <w:rFonts w:asciiTheme="majorHAnsi" w:hAnsiTheme="majorHAnsi"/>
          <w:color w:val="000000"/>
          <w:sz w:val="20"/>
          <w:szCs w:val="20"/>
        </w:rPr>
      </w:pPr>
      <w:r w:rsidRPr="00BF769A">
        <w:rPr>
          <w:rFonts w:asciiTheme="majorHAnsi" w:hAnsiTheme="majorHAnsi"/>
          <w:color w:val="000000"/>
          <w:sz w:val="20"/>
          <w:szCs w:val="20"/>
        </w:rPr>
        <w:t>October 6, 2015 (cancelled)</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color w:val="000000"/>
          <w:sz w:val="20"/>
          <w:szCs w:val="20"/>
        </w:rPr>
        <w:t xml:space="preserve">November </w:t>
      </w:r>
      <w:r w:rsidR="00A55B5D" w:rsidRPr="00BF769A">
        <w:rPr>
          <w:rFonts w:asciiTheme="majorHAnsi" w:hAnsiTheme="majorHAnsi"/>
          <w:color w:val="000000"/>
          <w:sz w:val="20"/>
          <w:szCs w:val="20"/>
        </w:rPr>
        <w:t>3</w:t>
      </w:r>
      <w:r w:rsidRPr="00BF769A">
        <w:rPr>
          <w:rFonts w:asciiTheme="majorHAnsi" w:hAnsiTheme="majorHAnsi"/>
          <w:color w:val="000000"/>
          <w:sz w:val="20"/>
          <w:szCs w:val="20"/>
        </w:rPr>
        <w:t>, 201</w:t>
      </w:r>
      <w:r w:rsidR="00A55B5D" w:rsidRPr="00BF769A">
        <w:rPr>
          <w:rFonts w:asciiTheme="majorHAnsi" w:hAnsiTheme="majorHAnsi"/>
          <w:color w:val="000000"/>
          <w:sz w:val="20"/>
          <w:szCs w:val="20"/>
        </w:rPr>
        <w:t>5</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color w:val="000000"/>
          <w:sz w:val="20"/>
          <w:szCs w:val="20"/>
        </w:rPr>
        <w:t xml:space="preserve">December </w:t>
      </w:r>
      <w:r w:rsidR="00A55B5D" w:rsidRPr="00BF769A">
        <w:rPr>
          <w:rFonts w:asciiTheme="majorHAnsi" w:hAnsiTheme="majorHAnsi"/>
          <w:color w:val="000000"/>
          <w:sz w:val="20"/>
          <w:szCs w:val="20"/>
        </w:rPr>
        <w:t>1</w:t>
      </w:r>
      <w:r w:rsidRPr="00BF769A">
        <w:rPr>
          <w:rFonts w:asciiTheme="majorHAnsi" w:hAnsiTheme="majorHAnsi"/>
          <w:color w:val="000000"/>
          <w:sz w:val="20"/>
          <w:szCs w:val="20"/>
        </w:rPr>
        <w:t>, 201</w:t>
      </w:r>
      <w:r w:rsidR="00A55B5D" w:rsidRPr="00BF769A">
        <w:rPr>
          <w:rFonts w:asciiTheme="majorHAnsi" w:hAnsiTheme="majorHAnsi"/>
          <w:color w:val="000000"/>
          <w:sz w:val="20"/>
          <w:szCs w:val="20"/>
        </w:rPr>
        <w:t>5</w:t>
      </w:r>
    </w:p>
    <w:p w:rsidR="00A55B5D" w:rsidRPr="00BF769A" w:rsidRDefault="00A55B5D" w:rsidP="00A94882">
      <w:pPr>
        <w:numPr>
          <w:ilvl w:val="3"/>
          <w:numId w:val="12"/>
        </w:numPr>
        <w:rPr>
          <w:rFonts w:asciiTheme="majorHAnsi" w:hAnsiTheme="majorHAnsi"/>
          <w:color w:val="000000"/>
          <w:sz w:val="20"/>
          <w:szCs w:val="20"/>
        </w:rPr>
      </w:pPr>
      <w:r w:rsidRPr="00BF769A">
        <w:rPr>
          <w:rFonts w:asciiTheme="majorHAnsi" w:hAnsiTheme="majorHAnsi"/>
          <w:color w:val="000000"/>
          <w:sz w:val="20"/>
          <w:szCs w:val="20"/>
        </w:rPr>
        <w:t xml:space="preserve">January </w:t>
      </w:r>
      <w:r w:rsidR="005E2674" w:rsidRPr="00BF769A">
        <w:rPr>
          <w:rFonts w:asciiTheme="majorHAnsi" w:hAnsiTheme="majorHAnsi"/>
          <w:color w:val="000000"/>
          <w:sz w:val="20"/>
          <w:szCs w:val="20"/>
        </w:rPr>
        <w:t>5, 2016</w:t>
      </w:r>
    </w:p>
    <w:p w:rsidR="00A94882" w:rsidRPr="00BF769A" w:rsidRDefault="00A94882" w:rsidP="00A94882">
      <w:pPr>
        <w:numPr>
          <w:ilvl w:val="3"/>
          <w:numId w:val="12"/>
        </w:numPr>
        <w:rPr>
          <w:rFonts w:asciiTheme="majorHAnsi" w:hAnsiTheme="majorHAnsi"/>
          <w:color w:val="000000"/>
          <w:sz w:val="20"/>
          <w:szCs w:val="20"/>
        </w:rPr>
      </w:pPr>
      <w:r w:rsidRPr="00BF769A">
        <w:rPr>
          <w:rFonts w:asciiTheme="majorHAnsi" w:hAnsiTheme="majorHAnsi" w:cs="Segoe UI"/>
          <w:color w:val="000000"/>
          <w:sz w:val="20"/>
          <w:szCs w:val="20"/>
        </w:rPr>
        <w:t>February 2, 201</w:t>
      </w:r>
      <w:r w:rsidR="005E2674" w:rsidRPr="00BF769A">
        <w:rPr>
          <w:rFonts w:asciiTheme="majorHAnsi" w:hAnsiTheme="majorHAnsi" w:cs="Segoe UI"/>
          <w:color w:val="000000"/>
          <w:sz w:val="20"/>
          <w:szCs w:val="20"/>
        </w:rPr>
        <w:t>6</w:t>
      </w:r>
    </w:p>
    <w:p w:rsidR="005E2674" w:rsidRPr="00BF769A" w:rsidRDefault="005E2674" w:rsidP="00A94882">
      <w:pPr>
        <w:numPr>
          <w:ilvl w:val="3"/>
          <w:numId w:val="12"/>
        </w:numPr>
        <w:rPr>
          <w:rFonts w:asciiTheme="majorHAnsi" w:hAnsiTheme="majorHAnsi"/>
          <w:color w:val="000000"/>
          <w:sz w:val="20"/>
          <w:szCs w:val="20"/>
        </w:rPr>
      </w:pPr>
      <w:r w:rsidRPr="00BF769A">
        <w:rPr>
          <w:rFonts w:asciiTheme="majorHAnsi" w:hAnsiTheme="majorHAnsi" w:cs="Segoe UI"/>
          <w:color w:val="000000"/>
          <w:sz w:val="20"/>
          <w:szCs w:val="20"/>
        </w:rPr>
        <w:t>March 1, 2016 (re-scheduled)</w:t>
      </w:r>
    </w:p>
    <w:p w:rsidR="00A94882" w:rsidRPr="00BF769A" w:rsidRDefault="00A94882" w:rsidP="00A94882">
      <w:pPr>
        <w:numPr>
          <w:ilvl w:val="2"/>
          <w:numId w:val="12"/>
        </w:numPr>
        <w:rPr>
          <w:rFonts w:asciiTheme="majorHAnsi" w:hAnsiTheme="majorHAnsi"/>
          <w:sz w:val="20"/>
          <w:szCs w:val="20"/>
        </w:rPr>
      </w:pPr>
      <w:r w:rsidRPr="00BF769A">
        <w:rPr>
          <w:rFonts w:asciiTheme="majorHAnsi" w:hAnsiTheme="majorHAnsi" w:cs="Segoe UI"/>
          <w:sz w:val="20"/>
          <w:szCs w:val="20"/>
          <w:u w:val="single"/>
        </w:rPr>
        <w:t xml:space="preserve">Recommendations: </w:t>
      </w:r>
      <w:r w:rsidRPr="00BF769A">
        <w:rPr>
          <w:rFonts w:asciiTheme="majorHAnsi" w:hAnsiTheme="majorHAnsi" w:cs="Segoe UI"/>
          <w:sz w:val="20"/>
          <w:szCs w:val="20"/>
        </w:rPr>
        <w:t xml:space="preserve"> </w:t>
      </w:r>
    </w:p>
    <w:p w:rsidR="00A94882" w:rsidRPr="00BF769A" w:rsidRDefault="00A94882" w:rsidP="00A94882">
      <w:pPr>
        <w:numPr>
          <w:ilvl w:val="3"/>
          <w:numId w:val="12"/>
        </w:numPr>
        <w:rPr>
          <w:rFonts w:asciiTheme="majorHAnsi" w:hAnsiTheme="majorHAnsi"/>
          <w:sz w:val="20"/>
          <w:szCs w:val="20"/>
        </w:rPr>
      </w:pPr>
      <w:r w:rsidRPr="00BF769A">
        <w:rPr>
          <w:rFonts w:asciiTheme="majorHAnsi" w:hAnsiTheme="majorHAnsi" w:cs="Segoe UI"/>
          <w:sz w:val="20"/>
          <w:szCs w:val="20"/>
        </w:rPr>
        <w:t>The Committee recommends that educational opportunities be developed throughout the state to satisfy PS 12-14</w:t>
      </w:r>
      <w:r w:rsidR="00BF769A">
        <w:rPr>
          <w:rFonts w:asciiTheme="majorHAnsi" w:hAnsiTheme="majorHAnsi" w:cs="Segoe UI"/>
          <w:sz w:val="20"/>
          <w:szCs w:val="20"/>
        </w:rPr>
        <w:t>; including programming at the Annual Assembly</w:t>
      </w:r>
      <w:r w:rsidRPr="00BF769A">
        <w:rPr>
          <w:rFonts w:asciiTheme="majorHAnsi" w:hAnsiTheme="majorHAnsi" w:cs="Segoe UI"/>
          <w:sz w:val="20"/>
          <w:szCs w:val="20"/>
        </w:rPr>
        <w:t xml:space="preserve"> </w:t>
      </w:r>
    </w:p>
    <w:p w:rsidR="00A94882" w:rsidRPr="00BF769A" w:rsidRDefault="00A94882" w:rsidP="00A94882">
      <w:pPr>
        <w:numPr>
          <w:ilvl w:val="4"/>
          <w:numId w:val="12"/>
        </w:numPr>
        <w:rPr>
          <w:rFonts w:asciiTheme="majorHAnsi" w:hAnsiTheme="majorHAnsi"/>
          <w:sz w:val="20"/>
          <w:szCs w:val="20"/>
        </w:rPr>
      </w:pPr>
      <w:r w:rsidRPr="00BF769A">
        <w:rPr>
          <w:rFonts w:asciiTheme="majorHAnsi" w:hAnsiTheme="majorHAnsi"/>
          <w:sz w:val="20"/>
          <w:szCs w:val="20"/>
        </w:rPr>
        <w:t>Committee work</w:t>
      </w:r>
      <w:r w:rsidR="00BF769A">
        <w:rPr>
          <w:rFonts w:asciiTheme="majorHAnsi" w:hAnsiTheme="majorHAnsi"/>
          <w:sz w:val="20"/>
          <w:szCs w:val="20"/>
        </w:rPr>
        <w:t>ing</w:t>
      </w:r>
      <w:r w:rsidRPr="00BF769A">
        <w:rPr>
          <w:rFonts w:asciiTheme="majorHAnsi" w:hAnsiTheme="majorHAnsi"/>
          <w:sz w:val="20"/>
          <w:szCs w:val="20"/>
        </w:rPr>
        <w:t xml:space="preserve"> with CCC to develop programming for technicians, consistent with the position statement and Strategic Plan.</w:t>
      </w:r>
    </w:p>
    <w:p w:rsidR="00BF769A" w:rsidRDefault="00BF769A" w:rsidP="00BF769A">
      <w:pPr>
        <w:numPr>
          <w:ilvl w:val="4"/>
          <w:numId w:val="12"/>
        </w:numPr>
        <w:rPr>
          <w:rFonts w:asciiTheme="majorHAnsi" w:hAnsiTheme="majorHAnsi"/>
          <w:sz w:val="20"/>
          <w:szCs w:val="20"/>
        </w:rPr>
      </w:pPr>
      <w:r>
        <w:rPr>
          <w:rFonts w:asciiTheme="majorHAnsi" w:hAnsiTheme="majorHAnsi"/>
          <w:sz w:val="20"/>
          <w:szCs w:val="20"/>
        </w:rPr>
        <w:t>Likely for 2017 Annual Assembly</w:t>
      </w:r>
      <w:r w:rsidR="00A94882" w:rsidRPr="00BF769A">
        <w:rPr>
          <w:rFonts w:asciiTheme="majorHAnsi" w:hAnsiTheme="majorHAnsi"/>
          <w:sz w:val="20"/>
          <w:szCs w:val="20"/>
        </w:rPr>
        <w:t xml:space="preserve"> </w:t>
      </w:r>
    </w:p>
    <w:p w:rsidR="00BF769A" w:rsidRDefault="00BF769A" w:rsidP="00BF769A">
      <w:pPr>
        <w:numPr>
          <w:ilvl w:val="4"/>
          <w:numId w:val="12"/>
        </w:numPr>
        <w:rPr>
          <w:rFonts w:asciiTheme="majorHAnsi" w:hAnsiTheme="majorHAnsi"/>
          <w:sz w:val="20"/>
          <w:szCs w:val="20"/>
        </w:rPr>
      </w:pPr>
      <w:r>
        <w:rPr>
          <w:rFonts w:asciiTheme="majorHAnsi" w:hAnsiTheme="majorHAnsi"/>
          <w:sz w:val="20"/>
          <w:szCs w:val="20"/>
        </w:rPr>
        <w:t>A technician networking event should also be planned at the Annual Assembly</w:t>
      </w:r>
    </w:p>
    <w:p w:rsidR="00BF769A" w:rsidRPr="00BF769A" w:rsidRDefault="00BF769A" w:rsidP="00BF769A">
      <w:pPr>
        <w:numPr>
          <w:ilvl w:val="4"/>
          <w:numId w:val="12"/>
        </w:numPr>
        <w:rPr>
          <w:rFonts w:asciiTheme="majorHAnsi" w:hAnsiTheme="majorHAnsi"/>
          <w:sz w:val="20"/>
          <w:szCs w:val="20"/>
        </w:rPr>
      </w:pPr>
      <w:r>
        <w:rPr>
          <w:rFonts w:asciiTheme="majorHAnsi" w:hAnsiTheme="majorHAnsi"/>
          <w:sz w:val="20"/>
          <w:szCs w:val="20"/>
        </w:rPr>
        <w:t>Consideration for a PTCB review course at the 2017 Annual Assembly</w:t>
      </w:r>
    </w:p>
    <w:p w:rsidR="00A94882" w:rsidRDefault="00A94882" w:rsidP="00A94882">
      <w:pPr>
        <w:numPr>
          <w:ilvl w:val="3"/>
          <w:numId w:val="12"/>
        </w:numPr>
        <w:rPr>
          <w:rFonts w:asciiTheme="majorHAnsi" w:hAnsiTheme="majorHAnsi"/>
          <w:sz w:val="20"/>
          <w:szCs w:val="20"/>
        </w:rPr>
      </w:pPr>
      <w:r w:rsidRPr="00BF769A">
        <w:rPr>
          <w:rFonts w:asciiTheme="majorHAnsi" w:hAnsiTheme="majorHAnsi"/>
          <w:sz w:val="20"/>
          <w:szCs w:val="20"/>
        </w:rPr>
        <w:t xml:space="preserve">The Committee </w:t>
      </w:r>
      <w:r w:rsidR="00BF769A">
        <w:rPr>
          <w:rFonts w:asciiTheme="majorHAnsi" w:hAnsiTheme="majorHAnsi"/>
          <w:sz w:val="20"/>
          <w:szCs w:val="20"/>
        </w:rPr>
        <w:t xml:space="preserve">continues to </w:t>
      </w:r>
      <w:r w:rsidRPr="00BF769A">
        <w:rPr>
          <w:rFonts w:asciiTheme="majorHAnsi" w:hAnsiTheme="majorHAnsi"/>
          <w:sz w:val="20"/>
          <w:szCs w:val="20"/>
        </w:rPr>
        <w:t>recommend that the Constitution &amp; By-Laws be amended to reflect the changing role of technicians in the organization.</w:t>
      </w:r>
    </w:p>
    <w:p w:rsidR="00BF769A" w:rsidRDefault="00BF769A" w:rsidP="00BF769A">
      <w:pPr>
        <w:numPr>
          <w:ilvl w:val="4"/>
          <w:numId w:val="12"/>
        </w:numPr>
        <w:rPr>
          <w:rFonts w:asciiTheme="majorHAnsi" w:hAnsiTheme="majorHAnsi"/>
          <w:sz w:val="20"/>
          <w:szCs w:val="20"/>
        </w:rPr>
      </w:pPr>
      <w:r>
        <w:rPr>
          <w:rFonts w:asciiTheme="majorHAnsi" w:hAnsiTheme="majorHAnsi"/>
          <w:sz w:val="20"/>
          <w:szCs w:val="20"/>
        </w:rPr>
        <w:t>A few chapters have included technicians in a non-voting capacity on their Boards</w:t>
      </w:r>
    </w:p>
    <w:p w:rsidR="00BF769A" w:rsidRDefault="00BF769A" w:rsidP="00BF769A">
      <w:pPr>
        <w:numPr>
          <w:ilvl w:val="4"/>
          <w:numId w:val="12"/>
        </w:numPr>
        <w:rPr>
          <w:rFonts w:asciiTheme="majorHAnsi" w:hAnsiTheme="majorHAnsi"/>
          <w:sz w:val="20"/>
          <w:szCs w:val="20"/>
        </w:rPr>
      </w:pPr>
      <w:r>
        <w:rPr>
          <w:rFonts w:asciiTheme="majorHAnsi" w:hAnsiTheme="majorHAnsi"/>
          <w:sz w:val="20"/>
          <w:szCs w:val="20"/>
        </w:rPr>
        <w:t>The NYSCHP Board has included the Technician Chair in Board meetings, effective February 2016. This is in a non-voting role.</w:t>
      </w:r>
    </w:p>
    <w:p w:rsidR="00BF769A" w:rsidRPr="00BF769A" w:rsidRDefault="00BF769A" w:rsidP="00BF769A">
      <w:pPr>
        <w:numPr>
          <w:ilvl w:val="5"/>
          <w:numId w:val="12"/>
        </w:numPr>
        <w:rPr>
          <w:rFonts w:asciiTheme="majorHAnsi" w:hAnsiTheme="majorHAnsi"/>
          <w:sz w:val="20"/>
          <w:szCs w:val="20"/>
        </w:rPr>
      </w:pPr>
      <w:r>
        <w:rPr>
          <w:rFonts w:asciiTheme="majorHAnsi" w:hAnsiTheme="majorHAnsi"/>
          <w:sz w:val="20"/>
          <w:szCs w:val="20"/>
        </w:rPr>
        <w:t>A travel budget for 2017 will be developed to allow for routine involvement in all Board meetings.</w:t>
      </w:r>
    </w:p>
    <w:p w:rsidR="00A94882" w:rsidRPr="00BF769A" w:rsidRDefault="00A94882" w:rsidP="00A94882">
      <w:pPr>
        <w:ind w:left="2160"/>
        <w:rPr>
          <w:rFonts w:asciiTheme="majorHAnsi" w:hAnsiTheme="majorHAnsi"/>
          <w:b/>
          <w:sz w:val="20"/>
          <w:szCs w:val="20"/>
        </w:rPr>
      </w:pPr>
    </w:p>
    <w:p w:rsidR="00BF769A" w:rsidRDefault="00A94882" w:rsidP="00BF769A">
      <w:pPr>
        <w:numPr>
          <w:ilvl w:val="2"/>
          <w:numId w:val="12"/>
        </w:numPr>
        <w:ind w:left="1800" w:hanging="360"/>
        <w:rPr>
          <w:rFonts w:asciiTheme="majorHAnsi" w:hAnsiTheme="majorHAnsi"/>
          <w:sz w:val="20"/>
          <w:szCs w:val="20"/>
        </w:rPr>
      </w:pPr>
      <w:r w:rsidRPr="00BF769A">
        <w:rPr>
          <w:rFonts w:asciiTheme="majorHAnsi" w:hAnsiTheme="majorHAnsi"/>
          <w:b/>
          <w:sz w:val="20"/>
          <w:szCs w:val="20"/>
          <w:u w:val="single"/>
        </w:rPr>
        <w:t xml:space="preserve">Position Statements:  </w:t>
      </w:r>
    </w:p>
    <w:p w:rsidR="00BF769A" w:rsidRPr="00BF769A" w:rsidRDefault="00BF769A" w:rsidP="00BF769A">
      <w:pPr>
        <w:numPr>
          <w:ilvl w:val="3"/>
          <w:numId w:val="12"/>
        </w:numPr>
        <w:rPr>
          <w:rFonts w:asciiTheme="majorHAnsi" w:hAnsiTheme="majorHAnsi"/>
          <w:sz w:val="20"/>
          <w:szCs w:val="20"/>
        </w:rPr>
      </w:pPr>
      <w:r>
        <w:rPr>
          <w:rFonts w:asciiTheme="majorHAnsi" w:eastAsia="Arial" w:hAnsiTheme="majorHAnsi" w:cs="Arial"/>
          <w:sz w:val="20"/>
          <w:szCs w:val="20"/>
          <w:highlight w:val="white"/>
        </w:rPr>
        <w:lastRenderedPageBreak/>
        <w:t xml:space="preserve">(xx-16) </w:t>
      </w:r>
      <w:r w:rsidRPr="00BF769A">
        <w:rPr>
          <w:rFonts w:asciiTheme="majorHAnsi" w:eastAsia="Arial" w:hAnsiTheme="majorHAnsi" w:cs="Arial"/>
          <w:sz w:val="20"/>
          <w:szCs w:val="20"/>
          <w:highlight w:val="white"/>
        </w:rPr>
        <w:t xml:space="preserve">The New York State Council of Health-System Pharmacists supports the formation of affiliations between health-system pharmacies and ASHP/ACPE-accredited pharmacy technician training programs </w:t>
      </w:r>
      <w:r>
        <w:rPr>
          <w:rFonts w:asciiTheme="majorHAnsi" w:eastAsia="Arial" w:hAnsiTheme="majorHAnsi" w:cs="Arial"/>
          <w:sz w:val="20"/>
          <w:szCs w:val="20"/>
          <w:highlight w:val="white"/>
        </w:rPr>
        <w:t>and/</w:t>
      </w:r>
      <w:r w:rsidRPr="00BF769A">
        <w:rPr>
          <w:rFonts w:asciiTheme="majorHAnsi" w:eastAsia="Arial" w:hAnsiTheme="majorHAnsi" w:cs="Arial"/>
          <w:sz w:val="20"/>
          <w:szCs w:val="20"/>
          <w:highlight w:val="white"/>
        </w:rPr>
        <w:t>or programs seeking ASHP/ACPE-accreditation.</w:t>
      </w:r>
    </w:p>
    <w:p w:rsidR="00BF769A" w:rsidRPr="00BF769A" w:rsidRDefault="00BF769A" w:rsidP="00BF769A">
      <w:pPr>
        <w:numPr>
          <w:ilvl w:val="4"/>
          <w:numId w:val="12"/>
        </w:numPr>
        <w:rPr>
          <w:rFonts w:asciiTheme="majorHAnsi" w:hAnsiTheme="majorHAnsi"/>
          <w:sz w:val="20"/>
          <w:szCs w:val="20"/>
        </w:rPr>
      </w:pPr>
      <w:r>
        <w:rPr>
          <w:rFonts w:asciiTheme="majorHAnsi" w:eastAsia="Arial" w:hAnsiTheme="majorHAnsi" w:cs="Arial"/>
          <w:sz w:val="20"/>
          <w:szCs w:val="20"/>
        </w:rPr>
        <w:t>Resolution co-sponsored by Rochester Chapter.</w:t>
      </w:r>
    </w:p>
    <w:p w:rsidR="00BF769A" w:rsidRPr="00BF769A" w:rsidRDefault="00BF769A" w:rsidP="00BF769A">
      <w:pPr>
        <w:numPr>
          <w:ilvl w:val="4"/>
          <w:numId w:val="12"/>
        </w:numPr>
        <w:rPr>
          <w:rFonts w:asciiTheme="majorHAnsi" w:hAnsiTheme="majorHAnsi"/>
          <w:sz w:val="20"/>
          <w:szCs w:val="20"/>
        </w:rPr>
      </w:pPr>
      <w:r>
        <w:rPr>
          <w:rFonts w:asciiTheme="majorHAnsi" w:eastAsia="Arial" w:hAnsiTheme="majorHAnsi" w:cs="Arial"/>
          <w:sz w:val="20"/>
          <w:szCs w:val="20"/>
        </w:rPr>
        <w:t>PTCB and ASHP monitoring the adoption of this resolution as a model for other states.</w:t>
      </w:r>
    </w:p>
    <w:p w:rsidR="00BF769A" w:rsidRPr="00BF769A" w:rsidRDefault="00BF769A" w:rsidP="00BF769A">
      <w:pPr>
        <w:rPr>
          <w:rFonts w:asciiTheme="majorHAnsi" w:hAnsiTheme="majorHAnsi"/>
          <w:sz w:val="20"/>
          <w:szCs w:val="20"/>
        </w:rPr>
      </w:pPr>
    </w:p>
    <w:p w:rsidR="00A94882" w:rsidRPr="00BF769A" w:rsidRDefault="00A94882" w:rsidP="00A94882">
      <w:pPr>
        <w:numPr>
          <w:ilvl w:val="1"/>
          <w:numId w:val="12"/>
        </w:numPr>
        <w:overflowPunct w:val="0"/>
        <w:autoSpaceDE w:val="0"/>
        <w:autoSpaceDN w:val="0"/>
        <w:adjustRightInd w:val="0"/>
        <w:textAlignment w:val="baseline"/>
        <w:rPr>
          <w:rFonts w:asciiTheme="majorHAnsi" w:hAnsiTheme="majorHAnsi"/>
          <w:b/>
          <w:sz w:val="20"/>
          <w:szCs w:val="20"/>
        </w:rPr>
      </w:pPr>
      <w:r w:rsidRPr="00BF769A">
        <w:rPr>
          <w:rFonts w:asciiTheme="majorHAnsi" w:hAnsiTheme="majorHAnsi"/>
          <w:b/>
          <w:sz w:val="20"/>
          <w:szCs w:val="20"/>
        </w:rPr>
        <w:t xml:space="preserve">Medication Safety </w:t>
      </w:r>
    </w:p>
    <w:p w:rsidR="00A94882" w:rsidRPr="00BF769A" w:rsidRDefault="00A94882" w:rsidP="00A94882">
      <w:pPr>
        <w:ind w:left="1080"/>
        <w:rPr>
          <w:rFonts w:asciiTheme="majorHAnsi" w:hAnsiTheme="majorHAnsi"/>
          <w:b/>
          <w:sz w:val="20"/>
          <w:szCs w:val="20"/>
        </w:rPr>
      </w:pPr>
    </w:p>
    <w:p w:rsidR="00A94882" w:rsidRPr="00BF769A" w:rsidRDefault="00A94882" w:rsidP="00A94882">
      <w:pPr>
        <w:numPr>
          <w:ilvl w:val="2"/>
          <w:numId w:val="12"/>
        </w:numPr>
        <w:overflowPunct w:val="0"/>
        <w:autoSpaceDE w:val="0"/>
        <w:autoSpaceDN w:val="0"/>
        <w:adjustRightInd w:val="0"/>
        <w:textAlignment w:val="baseline"/>
        <w:rPr>
          <w:rFonts w:asciiTheme="majorHAnsi" w:hAnsiTheme="majorHAnsi"/>
          <w:b/>
          <w:sz w:val="20"/>
          <w:szCs w:val="20"/>
        </w:rPr>
      </w:pPr>
      <w:r w:rsidRPr="00BF769A">
        <w:rPr>
          <w:rFonts w:asciiTheme="majorHAnsi" w:hAnsiTheme="majorHAnsi"/>
          <w:b/>
          <w:sz w:val="20"/>
          <w:szCs w:val="20"/>
          <w:u w:val="single"/>
        </w:rPr>
        <w:t>Purpose</w:t>
      </w:r>
      <w:r w:rsidRPr="00BF769A">
        <w:rPr>
          <w:rFonts w:asciiTheme="majorHAnsi" w:hAnsiTheme="majorHAnsi"/>
          <w:b/>
          <w:sz w:val="20"/>
          <w:szCs w:val="20"/>
        </w:rPr>
        <w:t xml:space="preserve">: </w:t>
      </w:r>
      <w:r w:rsidRPr="00BF769A">
        <w:rPr>
          <w:rFonts w:asciiTheme="majorHAnsi" w:hAnsiTheme="majorHAnsi"/>
          <w:sz w:val="20"/>
          <w:szCs w:val="20"/>
        </w:rPr>
        <w:t>To develop ways to address issues regarding medication and patient safety in pharmacy practice. The committee should function as a council resource on medication safety issues.</w:t>
      </w:r>
    </w:p>
    <w:p w:rsidR="00A94882" w:rsidRPr="00BF769A" w:rsidRDefault="00A94882" w:rsidP="00A94882">
      <w:pPr>
        <w:numPr>
          <w:ilvl w:val="2"/>
          <w:numId w:val="12"/>
        </w:numPr>
        <w:overflowPunct w:val="0"/>
        <w:autoSpaceDE w:val="0"/>
        <w:autoSpaceDN w:val="0"/>
        <w:adjustRightInd w:val="0"/>
        <w:textAlignment w:val="baseline"/>
        <w:rPr>
          <w:rFonts w:asciiTheme="majorHAnsi" w:hAnsiTheme="majorHAnsi"/>
          <w:b/>
          <w:sz w:val="20"/>
          <w:szCs w:val="20"/>
        </w:rPr>
      </w:pPr>
      <w:r w:rsidRPr="00BF769A">
        <w:rPr>
          <w:rFonts w:asciiTheme="majorHAnsi" w:hAnsiTheme="majorHAnsi"/>
          <w:b/>
          <w:sz w:val="20"/>
          <w:szCs w:val="20"/>
          <w:u w:val="single"/>
        </w:rPr>
        <w:t>Membership</w:t>
      </w:r>
      <w:r w:rsidRPr="00BF769A">
        <w:rPr>
          <w:rFonts w:asciiTheme="majorHAnsi" w:hAnsiTheme="majorHAnsi"/>
          <w:sz w:val="20"/>
          <w:szCs w:val="20"/>
        </w:rPr>
        <w:t xml:space="preserve">: </w:t>
      </w:r>
      <w:r w:rsidRPr="00BF769A">
        <w:rPr>
          <w:rFonts w:asciiTheme="majorHAnsi" w:hAnsiTheme="majorHAnsi"/>
          <w:sz w:val="20"/>
          <w:szCs w:val="20"/>
        </w:rPr>
        <w:tab/>
      </w:r>
      <w:r w:rsidRPr="00BF769A">
        <w:rPr>
          <w:rFonts w:asciiTheme="majorHAnsi" w:hAnsiTheme="majorHAnsi"/>
          <w:i/>
          <w:sz w:val="20"/>
          <w:szCs w:val="20"/>
        </w:rPr>
        <w:t>Ad hoc</w:t>
      </w:r>
    </w:p>
    <w:p w:rsidR="00A94882" w:rsidRDefault="00A94882" w:rsidP="00A94882">
      <w:pPr>
        <w:numPr>
          <w:ilvl w:val="2"/>
          <w:numId w:val="12"/>
        </w:numPr>
        <w:overflowPunct w:val="0"/>
        <w:autoSpaceDE w:val="0"/>
        <w:autoSpaceDN w:val="0"/>
        <w:adjustRightInd w:val="0"/>
        <w:textAlignment w:val="baseline"/>
        <w:rPr>
          <w:rFonts w:asciiTheme="majorHAnsi" w:hAnsiTheme="majorHAnsi"/>
          <w:sz w:val="20"/>
          <w:szCs w:val="20"/>
        </w:rPr>
      </w:pPr>
      <w:r w:rsidRPr="00BF769A">
        <w:rPr>
          <w:rFonts w:asciiTheme="majorHAnsi" w:hAnsiTheme="majorHAnsi"/>
          <w:sz w:val="20"/>
          <w:szCs w:val="20"/>
        </w:rPr>
        <w:t>N.B. Medication safety issues were the focus of the Support Personnel Committee and Professional Affairs Committee (see above)</w:t>
      </w:r>
    </w:p>
    <w:p w:rsidR="00BF769A" w:rsidRDefault="00BF769A" w:rsidP="00BF769A">
      <w:pPr>
        <w:overflowPunct w:val="0"/>
        <w:autoSpaceDE w:val="0"/>
        <w:autoSpaceDN w:val="0"/>
        <w:adjustRightInd w:val="0"/>
        <w:ind w:left="1440"/>
        <w:textAlignment w:val="baseline"/>
        <w:rPr>
          <w:rFonts w:asciiTheme="majorHAnsi" w:hAnsiTheme="majorHAnsi"/>
          <w:sz w:val="20"/>
          <w:szCs w:val="20"/>
        </w:rPr>
      </w:pPr>
    </w:p>
    <w:p w:rsidR="00BF769A" w:rsidRDefault="00BF769A" w:rsidP="00BF769A">
      <w:pPr>
        <w:numPr>
          <w:ilvl w:val="0"/>
          <w:numId w:val="21"/>
        </w:numPr>
        <w:overflowPunct w:val="0"/>
        <w:autoSpaceDE w:val="0"/>
        <w:autoSpaceDN w:val="0"/>
        <w:adjustRightInd w:val="0"/>
        <w:textAlignment w:val="baseline"/>
        <w:rPr>
          <w:rFonts w:asciiTheme="majorHAnsi" w:hAnsiTheme="majorHAnsi"/>
          <w:b/>
          <w:sz w:val="20"/>
          <w:szCs w:val="20"/>
        </w:rPr>
      </w:pPr>
      <w:r w:rsidRPr="00BF769A">
        <w:rPr>
          <w:rFonts w:asciiTheme="majorHAnsi" w:hAnsiTheme="majorHAnsi"/>
          <w:b/>
          <w:sz w:val="20"/>
          <w:szCs w:val="20"/>
        </w:rPr>
        <w:t>SUMMARY OF POSITION STATEMENTS AND RESOLUTIONS</w:t>
      </w:r>
    </w:p>
    <w:p w:rsidR="00BF769A" w:rsidRDefault="00BF769A" w:rsidP="00BF769A">
      <w:pPr>
        <w:numPr>
          <w:ilvl w:val="1"/>
          <w:numId w:val="22"/>
        </w:numPr>
        <w:overflowPunct w:val="0"/>
        <w:autoSpaceDE w:val="0"/>
        <w:autoSpaceDN w:val="0"/>
        <w:adjustRightInd w:val="0"/>
        <w:textAlignment w:val="baseline"/>
        <w:rPr>
          <w:rFonts w:asciiTheme="majorHAnsi" w:hAnsiTheme="majorHAnsi"/>
          <w:b/>
          <w:sz w:val="20"/>
          <w:szCs w:val="20"/>
        </w:rPr>
      </w:pPr>
      <w:r>
        <w:rPr>
          <w:rFonts w:asciiTheme="majorHAnsi" w:hAnsiTheme="majorHAnsi"/>
          <w:b/>
          <w:sz w:val="20"/>
          <w:szCs w:val="20"/>
        </w:rPr>
        <w:t>Position Statements for SUNSET</w:t>
      </w:r>
    </w:p>
    <w:p w:rsidR="00BF769A" w:rsidRDefault="00BF769A" w:rsidP="00BF769A">
      <w:pPr>
        <w:numPr>
          <w:ilvl w:val="2"/>
          <w:numId w:val="22"/>
        </w:numPr>
        <w:overflowPunct w:val="0"/>
        <w:autoSpaceDE w:val="0"/>
        <w:autoSpaceDN w:val="0"/>
        <w:adjustRightInd w:val="0"/>
        <w:textAlignment w:val="baseline"/>
        <w:rPr>
          <w:rFonts w:asciiTheme="majorHAnsi" w:hAnsiTheme="majorHAnsi"/>
          <w:b/>
          <w:sz w:val="20"/>
          <w:szCs w:val="20"/>
        </w:rPr>
      </w:pPr>
      <w:r>
        <w:rPr>
          <w:rFonts w:asciiTheme="majorHAnsi" w:hAnsiTheme="majorHAnsi"/>
          <w:b/>
          <w:sz w:val="20"/>
          <w:szCs w:val="20"/>
        </w:rPr>
        <w:t>1-01</w:t>
      </w:r>
    </w:p>
    <w:p w:rsidR="00BF769A" w:rsidRDefault="00BF769A" w:rsidP="00BF769A">
      <w:pPr>
        <w:numPr>
          <w:ilvl w:val="2"/>
          <w:numId w:val="22"/>
        </w:numPr>
        <w:overflowPunct w:val="0"/>
        <w:autoSpaceDE w:val="0"/>
        <w:autoSpaceDN w:val="0"/>
        <w:adjustRightInd w:val="0"/>
        <w:textAlignment w:val="baseline"/>
        <w:rPr>
          <w:rFonts w:asciiTheme="majorHAnsi" w:hAnsiTheme="majorHAnsi"/>
          <w:b/>
          <w:sz w:val="20"/>
          <w:szCs w:val="20"/>
        </w:rPr>
      </w:pPr>
      <w:r>
        <w:rPr>
          <w:rFonts w:asciiTheme="majorHAnsi" w:hAnsiTheme="majorHAnsi"/>
          <w:b/>
          <w:sz w:val="20"/>
          <w:szCs w:val="20"/>
        </w:rPr>
        <w:t>2-06</w:t>
      </w:r>
    </w:p>
    <w:p w:rsidR="00BF769A" w:rsidRDefault="00BF769A" w:rsidP="00BF769A">
      <w:pPr>
        <w:numPr>
          <w:ilvl w:val="2"/>
          <w:numId w:val="22"/>
        </w:numPr>
        <w:overflowPunct w:val="0"/>
        <w:autoSpaceDE w:val="0"/>
        <w:autoSpaceDN w:val="0"/>
        <w:adjustRightInd w:val="0"/>
        <w:textAlignment w:val="baseline"/>
        <w:rPr>
          <w:rFonts w:asciiTheme="majorHAnsi" w:hAnsiTheme="majorHAnsi"/>
          <w:b/>
          <w:sz w:val="20"/>
          <w:szCs w:val="20"/>
        </w:rPr>
      </w:pPr>
      <w:r>
        <w:rPr>
          <w:rFonts w:asciiTheme="majorHAnsi" w:hAnsiTheme="majorHAnsi"/>
          <w:b/>
          <w:sz w:val="20"/>
          <w:szCs w:val="20"/>
        </w:rPr>
        <w:t>4-06</w:t>
      </w:r>
    </w:p>
    <w:p w:rsidR="00BF769A" w:rsidRDefault="00BF769A" w:rsidP="00BF769A">
      <w:pPr>
        <w:numPr>
          <w:ilvl w:val="2"/>
          <w:numId w:val="22"/>
        </w:numPr>
        <w:overflowPunct w:val="0"/>
        <w:autoSpaceDE w:val="0"/>
        <w:autoSpaceDN w:val="0"/>
        <w:adjustRightInd w:val="0"/>
        <w:textAlignment w:val="baseline"/>
        <w:rPr>
          <w:rFonts w:asciiTheme="majorHAnsi" w:hAnsiTheme="majorHAnsi"/>
          <w:b/>
          <w:sz w:val="20"/>
          <w:szCs w:val="20"/>
        </w:rPr>
      </w:pPr>
      <w:r>
        <w:rPr>
          <w:rFonts w:asciiTheme="majorHAnsi" w:hAnsiTheme="majorHAnsi"/>
          <w:b/>
          <w:sz w:val="20"/>
          <w:szCs w:val="20"/>
        </w:rPr>
        <w:t>5-06</w:t>
      </w:r>
    </w:p>
    <w:p w:rsidR="00BF769A" w:rsidRDefault="00BF769A" w:rsidP="00BF769A">
      <w:pPr>
        <w:numPr>
          <w:ilvl w:val="1"/>
          <w:numId w:val="22"/>
        </w:numPr>
        <w:overflowPunct w:val="0"/>
        <w:autoSpaceDE w:val="0"/>
        <w:autoSpaceDN w:val="0"/>
        <w:adjustRightInd w:val="0"/>
        <w:textAlignment w:val="baseline"/>
        <w:rPr>
          <w:rFonts w:asciiTheme="majorHAnsi" w:hAnsiTheme="majorHAnsi"/>
          <w:b/>
          <w:sz w:val="20"/>
          <w:szCs w:val="20"/>
        </w:rPr>
      </w:pPr>
      <w:r>
        <w:rPr>
          <w:rFonts w:asciiTheme="majorHAnsi" w:hAnsiTheme="majorHAnsi"/>
          <w:b/>
          <w:sz w:val="20"/>
          <w:szCs w:val="20"/>
        </w:rPr>
        <w:t>Position Statements for Re-Adoption (RETAIN)</w:t>
      </w:r>
    </w:p>
    <w:p w:rsidR="00BF769A" w:rsidRDefault="00BF769A" w:rsidP="00BF769A">
      <w:pPr>
        <w:numPr>
          <w:ilvl w:val="2"/>
          <w:numId w:val="22"/>
        </w:numPr>
        <w:overflowPunct w:val="0"/>
        <w:autoSpaceDE w:val="0"/>
        <w:autoSpaceDN w:val="0"/>
        <w:adjustRightInd w:val="0"/>
        <w:textAlignment w:val="baseline"/>
        <w:rPr>
          <w:rFonts w:asciiTheme="majorHAnsi" w:hAnsiTheme="majorHAnsi"/>
          <w:b/>
          <w:sz w:val="20"/>
          <w:szCs w:val="20"/>
        </w:rPr>
      </w:pPr>
      <w:r>
        <w:rPr>
          <w:rFonts w:asciiTheme="majorHAnsi" w:hAnsiTheme="majorHAnsi"/>
          <w:b/>
          <w:sz w:val="20"/>
          <w:szCs w:val="20"/>
        </w:rPr>
        <w:t>6-06</w:t>
      </w:r>
    </w:p>
    <w:p w:rsidR="00BF769A" w:rsidRDefault="00BF769A" w:rsidP="00BF769A">
      <w:pPr>
        <w:numPr>
          <w:ilvl w:val="2"/>
          <w:numId w:val="22"/>
        </w:numPr>
        <w:overflowPunct w:val="0"/>
        <w:autoSpaceDE w:val="0"/>
        <w:autoSpaceDN w:val="0"/>
        <w:adjustRightInd w:val="0"/>
        <w:textAlignment w:val="baseline"/>
        <w:rPr>
          <w:rFonts w:asciiTheme="majorHAnsi" w:hAnsiTheme="majorHAnsi"/>
          <w:b/>
          <w:sz w:val="20"/>
          <w:szCs w:val="20"/>
        </w:rPr>
      </w:pPr>
      <w:r>
        <w:rPr>
          <w:rFonts w:asciiTheme="majorHAnsi" w:hAnsiTheme="majorHAnsi"/>
          <w:b/>
          <w:sz w:val="20"/>
          <w:szCs w:val="20"/>
        </w:rPr>
        <w:t>1-11</w:t>
      </w:r>
    </w:p>
    <w:p w:rsidR="00BF769A" w:rsidRDefault="00BF769A" w:rsidP="00BF769A">
      <w:pPr>
        <w:numPr>
          <w:ilvl w:val="1"/>
          <w:numId w:val="22"/>
        </w:numPr>
        <w:overflowPunct w:val="0"/>
        <w:autoSpaceDE w:val="0"/>
        <w:autoSpaceDN w:val="0"/>
        <w:adjustRightInd w:val="0"/>
        <w:textAlignment w:val="baseline"/>
        <w:rPr>
          <w:rFonts w:asciiTheme="majorHAnsi" w:hAnsiTheme="majorHAnsi"/>
          <w:b/>
          <w:sz w:val="20"/>
          <w:szCs w:val="20"/>
        </w:rPr>
      </w:pPr>
      <w:r>
        <w:rPr>
          <w:rFonts w:asciiTheme="majorHAnsi" w:hAnsiTheme="majorHAnsi"/>
          <w:b/>
          <w:sz w:val="20"/>
          <w:szCs w:val="20"/>
        </w:rPr>
        <w:t>Position Statements for Amendment/Modification (APPROVE WITH CHANGES)</w:t>
      </w:r>
    </w:p>
    <w:p w:rsidR="00BF769A" w:rsidRDefault="00BF769A" w:rsidP="00BF769A">
      <w:pPr>
        <w:numPr>
          <w:ilvl w:val="2"/>
          <w:numId w:val="22"/>
        </w:numPr>
        <w:overflowPunct w:val="0"/>
        <w:autoSpaceDE w:val="0"/>
        <w:autoSpaceDN w:val="0"/>
        <w:adjustRightInd w:val="0"/>
        <w:textAlignment w:val="baseline"/>
        <w:rPr>
          <w:rFonts w:asciiTheme="majorHAnsi" w:hAnsiTheme="majorHAnsi"/>
          <w:b/>
          <w:sz w:val="20"/>
          <w:szCs w:val="20"/>
        </w:rPr>
      </w:pPr>
      <w:r>
        <w:rPr>
          <w:rFonts w:asciiTheme="majorHAnsi" w:hAnsiTheme="majorHAnsi"/>
          <w:b/>
          <w:sz w:val="20"/>
          <w:szCs w:val="20"/>
        </w:rPr>
        <w:t>1-86/1-10</w:t>
      </w:r>
    </w:p>
    <w:p w:rsidR="00BF769A" w:rsidRPr="008129F0" w:rsidRDefault="00BF769A" w:rsidP="00BF769A">
      <w:pPr>
        <w:ind w:left="2160"/>
        <w:rPr>
          <w:rFonts w:ascii="Candara" w:hAnsi="Candara"/>
          <w:sz w:val="20"/>
          <w:szCs w:val="20"/>
        </w:rPr>
      </w:pPr>
      <w:r w:rsidRPr="008129F0">
        <w:rPr>
          <w:rFonts w:ascii="Candara" w:hAnsi="Candara"/>
          <w:sz w:val="20"/>
          <w:szCs w:val="20"/>
        </w:rPr>
        <w:t>The New York State Council of Health-system Pharmacists supports randomized clinical investigations and that age should not be a primary exclusion in clinical trials for drugs for use in the elderly and non-elderly populations and the New York State Council of Health-system Pharmacists supports a systematic surveillance mechanism in clinical investigations to monitor for informed consent and to prevent potential harm.</w:t>
      </w:r>
    </w:p>
    <w:p w:rsidR="00BF769A" w:rsidRDefault="00BF769A" w:rsidP="00BF769A">
      <w:pPr>
        <w:overflowPunct w:val="0"/>
        <w:autoSpaceDE w:val="0"/>
        <w:autoSpaceDN w:val="0"/>
        <w:adjustRightInd w:val="0"/>
        <w:ind w:left="2160"/>
        <w:textAlignment w:val="baseline"/>
        <w:rPr>
          <w:rFonts w:asciiTheme="majorHAnsi" w:hAnsiTheme="majorHAnsi"/>
          <w:b/>
          <w:sz w:val="20"/>
          <w:szCs w:val="20"/>
        </w:rPr>
      </w:pPr>
    </w:p>
    <w:p w:rsidR="00BF769A" w:rsidRDefault="00BF769A" w:rsidP="00BF769A">
      <w:pPr>
        <w:numPr>
          <w:ilvl w:val="2"/>
          <w:numId w:val="22"/>
        </w:numPr>
        <w:overflowPunct w:val="0"/>
        <w:autoSpaceDE w:val="0"/>
        <w:autoSpaceDN w:val="0"/>
        <w:adjustRightInd w:val="0"/>
        <w:textAlignment w:val="baseline"/>
        <w:rPr>
          <w:rFonts w:asciiTheme="majorHAnsi" w:hAnsiTheme="majorHAnsi"/>
          <w:b/>
          <w:sz w:val="20"/>
          <w:szCs w:val="20"/>
        </w:rPr>
      </w:pPr>
      <w:r>
        <w:rPr>
          <w:rFonts w:asciiTheme="majorHAnsi" w:hAnsiTheme="majorHAnsi"/>
          <w:b/>
          <w:sz w:val="20"/>
          <w:szCs w:val="20"/>
        </w:rPr>
        <w:t>2-11</w:t>
      </w:r>
    </w:p>
    <w:p w:rsidR="00BF769A" w:rsidRPr="00BF769A" w:rsidRDefault="00BF769A" w:rsidP="00BF769A">
      <w:pPr>
        <w:overflowPunct w:val="0"/>
        <w:autoSpaceDE w:val="0"/>
        <w:autoSpaceDN w:val="0"/>
        <w:adjustRightInd w:val="0"/>
        <w:ind w:left="2160"/>
        <w:textAlignment w:val="baseline"/>
        <w:rPr>
          <w:rFonts w:asciiTheme="majorHAnsi" w:hAnsiTheme="majorHAnsi"/>
          <w:b/>
          <w:sz w:val="20"/>
          <w:szCs w:val="20"/>
        </w:rPr>
      </w:pPr>
      <w:r w:rsidRPr="00BF769A">
        <w:rPr>
          <w:rFonts w:ascii="Candara" w:hAnsi="Candara" w:cs="Verdana"/>
          <w:bCs/>
          <w:sz w:val="20"/>
          <w:szCs w:val="20"/>
        </w:rPr>
        <w:t xml:space="preserve">Role of the Pharmacist in the “Medical Home”: </w:t>
      </w:r>
      <w:r w:rsidRPr="00BF769A">
        <w:rPr>
          <w:rFonts w:ascii="Candara" w:hAnsi="Candara" w:cs="Verdana"/>
          <w:bCs/>
          <w:color w:val="231F20"/>
          <w:sz w:val="20"/>
          <w:szCs w:val="20"/>
        </w:rPr>
        <w:t xml:space="preserve">The New York State Council of Health-System Pharmacists supports the </w:t>
      </w:r>
      <w:r w:rsidRPr="00BF769A">
        <w:rPr>
          <w:rFonts w:ascii="Candara" w:hAnsi="Candara" w:cs="Verdana"/>
          <w:bCs/>
          <w:color w:val="000000"/>
          <w:sz w:val="20"/>
          <w:szCs w:val="20"/>
        </w:rPr>
        <w:t xml:space="preserve">inclusion of pharmacists as a care provider within the health care (medical) home model. </w:t>
      </w:r>
      <w:r w:rsidRPr="00BF769A">
        <w:rPr>
          <w:rFonts w:ascii="Candara" w:hAnsi="Candara" w:cs="Verdana"/>
          <w:bCs/>
          <w:color w:val="231F20"/>
          <w:sz w:val="20"/>
          <w:szCs w:val="20"/>
        </w:rPr>
        <w:t>Pharmacists can affect the delivery of primary care by addressing the challenges of medication therapy management. Most office visits involve medications for chronic conditions and require assessment of medication effectiveness, and patients’ adherence with medication regimens. Pharmacists are often underused in conducting these activities. They perform comprehensive therapy reviews of prescribed and self-care medications, resolve medication-related problems, optimize complex regimens, design adherence programs, and recommend cost-effective therapies. Pharmacists should play key roles as team members in medical homes.</w:t>
      </w:r>
    </w:p>
    <w:p w:rsidR="00BF769A" w:rsidRDefault="00BF769A" w:rsidP="00BF769A">
      <w:pPr>
        <w:overflowPunct w:val="0"/>
        <w:autoSpaceDE w:val="0"/>
        <w:autoSpaceDN w:val="0"/>
        <w:adjustRightInd w:val="0"/>
        <w:ind w:left="2160"/>
        <w:textAlignment w:val="baseline"/>
        <w:rPr>
          <w:rFonts w:asciiTheme="majorHAnsi" w:hAnsiTheme="majorHAnsi"/>
          <w:b/>
          <w:sz w:val="20"/>
          <w:szCs w:val="20"/>
        </w:rPr>
      </w:pPr>
    </w:p>
    <w:p w:rsidR="00BF769A" w:rsidRDefault="00BF769A" w:rsidP="00BF769A">
      <w:pPr>
        <w:numPr>
          <w:ilvl w:val="1"/>
          <w:numId w:val="22"/>
        </w:numPr>
        <w:overflowPunct w:val="0"/>
        <w:autoSpaceDE w:val="0"/>
        <w:autoSpaceDN w:val="0"/>
        <w:adjustRightInd w:val="0"/>
        <w:textAlignment w:val="baseline"/>
        <w:rPr>
          <w:rFonts w:asciiTheme="majorHAnsi" w:hAnsiTheme="majorHAnsi"/>
          <w:b/>
          <w:sz w:val="20"/>
          <w:szCs w:val="20"/>
        </w:rPr>
      </w:pPr>
      <w:r>
        <w:rPr>
          <w:rFonts w:asciiTheme="majorHAnsi" w:hAnsiTheme="majorHAnsi"/>
          <w:b/>
          <w:sz w:val="20"/>
          <w:szCs w:val="20"/>
        </w:rPr>
        <w:t>New Position Statement</w:t>
      </w:r>
    </w:p>
    <w:p w:rsidR="00BF769A" w:rsidRPr="00BF769A" w:rsidRDefault="00BF769A" w:rsidP="00BF769A">
      <w:pPr>
        <w:numPr>
          <w:ilvl w:val="2"/>
          <w:numId w:val="22"/>
        </w:numPr>
        <w:rPr>
          <w:rFonts w:ascii="Calibri Light" w:hAnsi="Calibri Light"/>
          <w:sz w:val="20"/>
          <w:szCs w:val="20"/>
        </w:rPr>
      </w:pPr>
      <w:r w:rsidRPr="00BF769A">
        <w:rPr>
          <w:rFonts w:ascii="Calibri Light" w:eastAsia="Arial" w:hAnsi="Calibri Light" w:cs="Arial"/>
          <w:b/>
          <w:sz w:val="20"/>
          <w:szCs w:val="20"/>
          <w:highlight w:val="white"/>
        </w:rPr>
        <w:t>xx-16</w:t>
      </w:r>
      <w:r w:rsidRPr="00BF769A">
        <w:rPr>
          <w:rFonts w:ascii="Calibri Light" w:eastAsia="Arial" w:hAnsi="Calibri Light" w:cs="Arial"/>
          <w:sz w:val="20"/>
          <w:szCs w:val="20"/>
          <w:highlight w:val="white"/>
        </w:rPr>
        <w:t xml:space="preserve"> The New York State Council of Health-System Pharmacists supports the formation of affiliations between health-system pharmacies and ASHP/ACPE-accredited pharmacy technician training programs and/or programs seeking ASHP/ACPE-accreditation.</w:t>
      </w:r>
    </w:p>
    <w:p w:rsidR="00CD69F7" w:rsidRPr="00BF769A" w:rsidRDefault="00CD69F7" w:rsidP="000444A8">
      <w:pPr>
        <w:rPr>
          <w:rFonts w:asciiTheme="majorHAnsi" w:hAnsiTheme="majorHAnsi" w:cs="Arial"/>
          <w:color w:val="000000"/>
          <w:sz w:val="20"/>
          <w:szCs w:val="20"/>
        </w:rPr>
      </w:pPr>
    </w:p>
    <w:p w:rsidR="00C471FE" w:rsidRPr="00BF769A" w:rsidRDefault="00C471FE" w:rsidP="000444A8">
      <w:pPr>
        <w:rPr>
          <w:rFonts w:asciiTheme="majorHAnsi" w:hAnsiTheme="majorHAnsi" w:cs="Arial"/>
          <w:color w:val="000000"/>
          <w:sz w:val="20"/>
          <w:szCs w:val="20"/>
        </w:rPr>
      </w:pPr>
    </w:p>
    <w:p w:rsidR="009B76F0" w:rsidRPr="00BF769A" w:rsidRDefault="009B76F0" w:rsidP="000444A8">
      <w:pPr>
        <w:rPr>
          <w:rFonts w:asciiTheme="majorHAnsi" w:hAnsiTheme="majorHAnsi" w:cs="Arial"/>
          <w:color w:val="000000"/>
          <w:sz w:val="20"/>
          <w:szCs w:val="20"/>
        </w:rPr>
      </w:pPr>
    </w:p>
    <w:p w:rsidR="00A94882" w:rsidRPr="00BF769A" w:rsidRDefault="00A94882" w:rsidP="00A94882">
      <w:pPr>
        <w:rPr>
          <w:rFonts w:asciiTheme="majorHAnsi" w:hAnsiTheme="majorHAnsi"/>
          <w:sz w:val="20"/>
          <w:szCs w:val="20"/>
        </w:rPr>
      </w:pPr>
      <w:r w:rsidRPr="00BF769A">
        <w:rPr>
          <w:rFonts w:asciiTheme="majorHAnsi" w:hAnsiTheme="majorHAnsi"/>
          <w:sz w:val="20"/>
          <w:szCs w:val="20"/>
        </w:rPr>
        <w:t>Respectfully submitted,</w:t>
      </w:r>
    </w:p>
    <w:p w:rsidR="00A94882" w:rsidRPr="00BF769A" w:rsidRDefault="00A94882" w:rsidP="00A94882">
      <w:pPr>
        <w:rPr>
          <w:rFonts w:asciiTheme="majorHAnsi" w:hAnsiTheme="majorHAnsi"/>
          <w:sz w:val="20"/>
          <w:szCs w:val="20"/>
        </w:rPr>
      </w:pPr>
    </w:p>
    <w:p w:rsidR="00A94882" w:rsidRPr="00BF769A" w:rsidRDefault="00AC3ECC" w:rsidP="00A94882">
      <w:pPr>
        <w:rPr>
          <w:rFonts w:asciiTheme="majorHAnsi" w:hAnsiTheme="majorHAnsi"/>
          <w:sz w:val="20"/>
          <w:szCs w:val="20"/>
        </w:rPr>
      </w:pPr>
      <w:r>
        <w:rPr>
          <w:rFonts w:asciiTheme="majorHAnsi" w:hAnsiTheme="majorHAnsi"/>
          <w:noProof/>
          <w:sz w:val="20"/>
          <w:szCs w:val="20"/>
        </w:rPr>
        <w:drawing>
          <wp:inline distT="0" distB="0" distL="0" distR="0">
            <wp:extent cx="2668905" cy="721360"/>
            <wp:effectExtent l="0" t="0" r="0" b="254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8905" cy="721360"/>
                    </a:xfrm>
                    <a:prstGeom prst="rect">
                      <a:avLst/>
                    </a:prstGeom>
                    <a:noFill/>
                    <a:ln>
                      <a:noFill/>
                    </a:ln>
                  </pic:spPr>
                </pic:pic>
              </a:graphicData>
            </a:graphic>
          </wp:inline>
        </w:drawing>
      </w:r>
    </w:p>
    <w:p w:rsidR="00A94882" w:rsidRPr="00BF769A" w:rsidRDefault="00A94882" w:rsidP="00A94882">
      <w:pPr>
        <w:ind w:firstLine="360"/>
        <w:rPr>
          <w:rFonts w:asciiTheme="majorHAnsi" w:hAnsiTheme="majorHAnsi"/>
          <w:sz w:val="20"/>
          <w:szCs w:val="20"/>
        </w:rPr>
      </w:pPr>
      <w:r w:rsidRPr="00BF769A">
        <w:rPr>
          <w:rFonts w:asciiTheme="majorHAnsi" w:hAnsiTheme="majorHAnsi"/>
          <w:sz w:val="20"/>
          <w:szCs w:val="20"/>
        </w:rPr>
        <w:t>Robert DiGregorio, PharmD, BCACP</w:t>
      </w:r>
      <w:r w:rsidR="00BF769A">
        <w:rPr>
          <w:rFonts w:asciiTheme="majorHAnsi" w:hAnsiTheme="majorHAnsi"/>
          <w:sz w:val="20"/>
          <w:szCs w:val="20"/>
        </w:rPr>
        <w:t>, FNAP</w:t>
      </w:r>
    </w:p>
    <w:p w:rsidR="00A94882" w:rsidRPr="00BF769A" w:rsidRDefault="00A94882" w:rsidP="00A94882">
      <w:pPr>
        <w:ind w:firstLine="360"/>
        <w:rPr>
          <w:rFonts w:asciiTheme="majorHAnsi" w:hAnsiTheme="majorHAnsi"/>
          <w:sz w:val="20"/>
          <w:szCs w:val="20"/>
        </w:rPr>
      </w:pPr>
      <w:r w:rsidRPr="00BF769A">
        <w:rPr>
          <w:rFonts w:asciiTheme="majorHAnsi" w:hAnsiTheme="majorHAnsi"/>
          <w:sz w:val="20"/>
          <w:szCs w:val="20"/>
        </w:rPr>
        <w:t>Director</w:t>
      </w:r>
    </w:p>
    <w:p w:rsidR="009067F9" w:rsidRPr="00BF769A" w:rsidRDefault="00A94882" w:rsidP="00A94882">
      <w:pPr>
        <w:ind w:firstLine="360"/>
        <w:rPr>
          <w:rFonts w:asciiTheme="majorHAnsi" w:hAnsiTheme="majorHAnsi" w:cs="Arial"/>
          <w:sz w:val="20"/>
          <w:szCs w:val="20"/>
        </w:rPr>
      </w:pPr>
      <w:r w:rsidRPr="00BF769A">
        <w:rPr>
          <w:rFonts w:asciiTheme="majorHAnsi" w:hAnsiTheme="majorHAnsi"/>
          <w:sz w:val="20"/>
          <w:szCs w:val="20"/>
        </w:rPr>
        <w:t>Division of Pharmacy Practice</w:t>
      </w:r>
    </w:p>
    <w:p w:rsidR="009067F9" w:rsidRPr="00BF769A" w:rsidRDefault="009067F9" w:rsidP="0096637B">
      <w:pPr>
        <w:rPr>
          <w:rFonts w:asciiTheme="majorHAnsi" w:hAnsiTheme="majorHAnsi" w:cs="Arial"/>
          <w:sz w:val="20"/>
          <w:szCs w:val="20"/>
        </w:rPr>
      </w:pPr>
    </w:p>
    <w:sectPr w:rsidR="009067F9" w:rsidRPr="00BF769A" w:rsidSect="009067F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90C6A"/>
    <w:multiLevelType w:val="hybridMultilevel"/>
    <w:tmpl w:val="604DFD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7582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82E6E56"/>
    <w:multiLevelType w:val="hybridMultilevel"/>
    <w:tmpl w:val="E2427D4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6A85CD1"/>
    <w:multiLevelType w:val="multilevel"/>
    <w:tmpl w:val="D7AA1918"/>
    <w:lvl w:ilvl="0">
      <w:start w:val="3"/>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A6B5F26"/>
    <w:multiLevelType w:val="hybridMultilevel"/>
    <w:tmpl w:val="C0DE1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C338D1"/>
    <w:multiLevelType w:val="hybridMultilevel"/>
    <w:tmpl w:val="C70A4D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79839DC"/>
    <w:multiLevelType w:val="multilevel"/>
    <w:tmpl w:val="C87A7B28"/>
    <w:lvl w:ilvl="0">
      <w:start w:val="7"/>
      <w:numFmt w:val="decimal"/>
      <w:lvlText w:val="(%1-"/>
      <w:lvlJc w:val="left"/>
      <w:pPr>
        <w:tabs>
          <w:tab w:val="num" w:pos="555"/>
        </w:tabs>
        <w:ind w:left="555" w:hanging="555"/>
      </w:pPr>
      <w:rPr>
        <w:rFonts w:hint="default"/>
      </w:rPr>
    </w:lvl>
    <w:lvl w:ilvl="1">
      <w:start w:val="10"/>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7">
    <w:nsid w:val="291B2EC4"/>
    <w:multiLevelType w:val="multilevel"/>
    <w:tmpl w:val="8EDC062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b/>
        <w:sz w:val="20"/>
        <w:szCs w:val="20"/>
      </w:rPr>
    </w:lvl>
    <w:lvl w:ilvl="3">
      <w:start w:val="1"/>
      <w:numFmt w:val="lowerLetter"/>
      <w:lvlText w:val="%4)"/>
      <w:lvlJc w:val="left"/>
      <w:pPr>
        <w:tabs>
          <w:tab w:val="num" w:pos="2520"/>
        </w:tabs>
        <w:ind w:left="2160" w:firstLine="0"/>
      </w:pPr>
      <w:rPr>
        <w:rFonts w:hint="default"/>
        <w:b w:val="0"/>
        <w:i w:val="0"/>
        <w:sz w:val="20"/>
        <w:szCs w:val="20"/>
      </w:rPr>
    </w:lvl>
    <w:lvl w:ilvl="4">
      <w:start w:val="1"/>
      <w:numFmt w:val="decimal"/>
      <w:lvlText w:val="(%5)"/>
      <w:lvlJc w:val="left"/>
      <w:pPr>
        <w:tabs>
          <w:tab w:val="num" w:pos="3240"/>
        </w:tabs>
        <w:ind w:left="2880" w:firstLine="0"/>
      </w:pPr>
      <w:rPr>
        <w:rFonts w:hint="default"/>
        <w:color w:val="auto"/>
        <w:sz w:val="20"/>
        <w:szCs w:val="20"/>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F5E6E9F"/>
    <w:multiLevelType w:val="multilevel"/>
    <w:tmpl w:val="F0FCBBF0"/>
    <w:lvl w:ilvl="0">
      <w:start w:val="3"/>
      <w:numFmt w:val="upperRoman"/>
      <w:lvlText w:val="%1."/>
      <w:lvlJc w:val="left"/>
      <w:pPr>
        <w:tabs>
          <w:tab w:val="num" w:pos="360"/>
        </w:tabs>
        <w:ind w:left="0" w:firstLine="0"/>
      </w:pPr>
      <w:rPr>
        <w:rFonts w:hint="default"/>
      </w:rPr>
    </w:lvl>
    <w:lvl w:ilvl="1">
      <w:start w:val="2"/>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FBC76DA"/>
    <w:multiLevelType w:val="multilevel"/>
    <w:tmpl w:val="66568FCC"/>
    <w:lvl w:ilvl="0">
      <w:start w:val="1"/>
      <w:numFmt w:val="upperRoman"/>
      <w:lvlText w:val="%1."/>
      <w:lvlJc w:val="left"/>
      <w:pPr>
        <w:tabs>
          <w:tab w:val="num" w:pos="360"/>
        </w:tabs>
        <w:ind w:left="0" w:firstLine="0"/>
      </w:pPr>
      <w:rPr>
        <w:rFonts w:hint="default"/>
      </w:rPr>
    </w:lvl>
    <w:lvl w:ilvl="1">
      <w:start w:val="2"/>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017149A"/>
    <w:multiLevelType w:val="hybridMultilevel"/>
    <w:tmpl w:val="391EA60A"/>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2D35E3"/>
    <w:multiLevelType w:val="hybridMultilevel"/>
    <w:tmpl w:val="164CE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5F5DAE"/>
    <w:multiLevelType w:val="multilevel"/>
    <w:tmpl w:val="8EDC062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b/>
        <w:sz w:val="20"/>
        <w:szCs w:val="20"/>
      </w:rPr>
    </w:lvl>
    <w:lvl w:ilvl="3">
      <w:start w:val="1"/>
      <w:numFmt w:val="lowerLetter"/>
      <w:lvlText w:val="%4)"/>
      <w:lvlJc w:val="left"/>
      <w:pPr>
        <w:tabs>
          <w:tab w:val="num" w:pos="2520"/>
        </w:tabs>
        <w:ind w:left="2160" w:firstLine="0"/>
      </w:pPr>
      <w:rPr>
        <w:rFonts w:hint="default"/>
        <w:b w:val="0"/>
        <w:i w:val="0"/>
        <w:sz w:val="20"/>
        <w:szCs w:val="20"/>
      </w:rPr>
    </w:lvl>
    <w:lvl w:ilvl="4">
      <w:start w:val="1"/>
      <w:numFmt w:val="decimal"/>
      <w:lvlText w:val="(%5)"/>
      <w:lvlJc w:val="left"/>
      <w:pPr>
        <w:tabs>
          <w:tab w:val="num" w:pos="3240"/>
        </w:tabs>
        <w:ind w:left="2880" w:firstLine="0"/>
      </w:pPr>
      <w:rPr>
        <w:rFonts w:hint="default"/>
        <w:color w:val="auto"/>
        <w:sz w:val="20"/>
        <w:szCs w:val="20"/>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40536C79"/>
    <w:multiLevelType w:val="hybridMultilevel"/>
    <w:tmpl w:val="60EE158C"/>
    <w:lvl w:ilvl="0" w:tplc="5CDE23D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9F0871"/>
    <w:multiLevelType w:val="hybridMultilevel"/>
    <w:tmpl w:val="1084E452"/>
    <w:lvl w:ilvl="0" w:tplc="B720C7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221AF4"/>
    <w:multiLevelType w:val="hybridMultilevel"/>
    <w:tmpl w:val="8C6C9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8B1555C"/>
    <w:multiLevelType w:val="hybridMultilevel"/>
    <w:tmpl w:val="E612C8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A2A43BA"/>
    <w:multiLevelType w:val="multilevel"/>
    <w:tmpl w:val="DF58D822"/>
    <w:lvl w:ilvl="0">
      <w:start w:val="1"/>
      <w:numFmt w:val="decimal"/>
      <w:lvlText w:val="%1-"/>
      <w:lvlJc w:val="left"/>
      <w:pPr>
        <w:tabs>
          <w:tab w:val="num" w:pos="465"/>
        </w:tabs>
        <w:ind w:left="465" w:hanging="465"/>
      </w:pPr>
      <w:rPr>
        <w:rFonts w:hint="default"/>
        <w:color w:val="auto"/>
      </w:rPr>
    </w:lvl>
    <w:lvl w:ilvl="1">
      <w:start w:val="10"/>
      <w:numFmt w:val="decimal"/>
      <w:lvlText w:val="%1-%2)"/>
      <w:lvlJc w:val="left"/>
      <w:pPr>
        <w:tabs>
          <w:tab w:val="num" w:pos="2985"/>
        </w:tabs>
        <w:ind w:left="2985" w:hanging="465"/>
      </w:pPr>
      <w:rPr>
        <w:rFonts w:hint="default"/>
        <w:color w:val="auto"/>
      </w:rPr>
    </w:lvl>
    <w:lvl w:ilvl="2">
      <w:start w:val="1"/>
      <w:numFmt w:val="decimal"/>
      <w:lvlText w:val="%1-%2)%3."/>
      <w:lvlJc w:val="left"/>
      <w:pPr>
        <w:tabs>
          <w:tab w:val="num" w:pos="5760"/>
        </w:tabs>
        <w:ind w:left="5760" w:hanging="720"/>
      </w:pPr>
      <w:rPr>
        <w:rFonts w:hint="default"/>
        <w:color w:val="auto"/>
      </w:rPr>
    </w:lvl>
    <w:lvl w:ilvl="3">
      <w:start w:val="1"/>
      <w:numFmt w:val="decimal"/>
      <w:lvlText w:val="%1-%2)%3.%4."/>
      <w:lvlJc w:val="left"/>
      <w:pPr>
        <w:tabs>
          <w:tab w:val="num" w:pos="8280"/>
        </w:tabs>
        <w:ind w:left="8280" w:hanging="720"/>
      </w:pPr>
      <w:rPr>
        <w:rFonts w:hint="default"/>
        <w:color w:val="auto"/>
      </w:rPr>
    </w:lvl>
    <w:lvl w:ilvl="4">
      <w:start w:val="1"/>
      <w:numFmt w:val="decimal"/>
      <w:lvlText w:val="%1-%2)%3.%4.%5."/>
      <w:lvlJc w:val="left"/>
      <w:pPr>
        <w:tabs>
          <w:tab w:val="num" w:pos="11160"/>
        </w:tabs>
        <w:ind w:left="11160" w:hanging="1080"/>
      </w:pPr>
      <w:rPr>
        <w:rFonts w:hint="default"/>
        <w:color w:val="auto"/>
      </w:rPr>
    </w:lvl>
    <w:lvl w:ilvl="5">
      <w:start w:val="1"/>
      <w:numFmt w:val="decimal"/>
      <w:lvlText w:val="%1-%2)%3.%4.%5.%6."/>
      <w:lvlJc w:val="left"/>
      <w:pPr>
        <w:tabs>
          <w:tab w:val="num" w:pos="13680"/>
        </w:tabs>
        <w:ind w:left="13680" w:hanging="1080"/>
      </w:pPr>
      <w:rPr>
        <w:rFonts w:hint="default"/>
        <w:color w:val="auto"/>
      </w:rPr>
    </w:lvl>
    <w:lvl w:ilvl="6">
      <w:start w:val="1"/>
      <w:numFmt w:val="decimal"/>
      <w:lvlText w:val="%1-%2)%3.%4.%5.%6.%7."/>
      <w:lvlJc w:val="left"/>
      <w:pPr>
        <w:tabs>
          <w:tab w:val="num" w:pos="16200"/>
        </w:tabs>
        <w:ind w:left="16200" w:hanging="1080"/>
      </w:pPr>
      <w:rPr>
        <w:rFonts w:hint="default"/>
        <w:color w:val="auto"/>
      </w:rPr>
    </w:lvl>
    <w:lvl w:ilvl="7">
      <w:start w:val="1"/>
      <w:numFmt w:val="decimal"/>
      <w:lvlText w:val="%1-%2)%3.%4.%5.%6.%7.%8."/>
      <w:lvlJc w:val="left"/>
      <w:pPr>
        <w:tabs>
          <w:tab w:val="num" w:pos="19080"/>
        </w:tabs>
        <w:ind w:left="19080" w:hanging="1440"/>
      </w:pPr>
      <w:rPr>
        <w:rFonts w:hint="default"/>
        <w:color w:val="auto"/>
      </w:rPr>
    </w:lvl>
    <w:lvl w:ilvl="8">
      <w:start w:val="1"/>
      <w:numFmt w:val="decimal"/>
      <w:lvlText w:val="%1-%2)%3.%4.%5.%6.%7.%8.%9."/>
      <w:lvlJc w:val="left"/>
      <w:pPr>
        <w:tabs>
          <w:tab w:val="num" w:pos="21600"/>
        </w:tabs>
        <w:ind w:left="21600" w:hanging="1440"/>
      </w:pPr>
      <w:rPr>
        <w:rFonts w:hint="default"/>
        <w:color w:val="auto"/>
      </w:rPr>
    </w:lvl>
  </w:abstractNum>
  <w:abstractNum w:abstractNumId="18">
    <w:nsid w:val="6098786C"/>
    <w:multiLevelType w:val="multilevel"/>
    <w:tmpl w:val="568E1A1A"/>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nsid w:val="664D566C"/>
    <w:multiLevelType w:val="hybridMultilevel"/>
    <w:tmpl w:val="91061646"/>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D5361C9"/>
    <w:multiLevelType w:val="hybridMultilevel"/>
    <w:tmpl w:val="ABEC31E8"/>
    <w:lvl w:ilvl="0" w:tplc="A64C2638">
      <w:start w:val="3"/>
      <w:numFmt w:val="decimal"/>
      <w:lvlText w:val="%1)"/>
      <w:lvlJc w:val="left"/>
      <w:pPr>
        <w:tabs>
          <w:tab w:val="num" w:pos="540"/>
        </w:tabs>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14"/>
  </w:num>
  <w:num w:numId="4">
    <w:abstractNumId w:val="11"/>
  </w:num>
  <w:num w:numId="5">
    <w:abstractNumId w:val="15"/>
  </w:num>
  <w:num w:numId="6">
    <w:abstractNumId w:val="5"/>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7"/>
  </w:num>
  <w:num w:numId="14">
    <w:abstractNumId w:val="6"/>
  </w:num>
  <w:num w:numId="15">
    <w:abstractNumId w:val="2"/>
  </w:num>
  <w:num w:numId="16">
    <w:abstractNumId w:val="13"/>
  </w:num>
  <w:num w:numId="17">
    <w:abstractNumId w:val="12"/>
  </w:num>
  <w:num w:numId="18">
    <w:abstractNumId w:val="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A8"/>
    <w:rsid w:val="000143B1"/>
    <w:rsid w:val="000444A8"/>
    <w:rsid w:val="000623B7"/>
    <w:rsid w:val="00066661"/>
    <w:rsid w:val="000954FB"/>
    <w:rsid w:val="001320C1"/>
    <w:rsid w:val="001438B2"/>
    <w:rsid w:val="001F6787"/>
    <w:rsid w:val="002421CF"/>
    <w:rsid w:val="002560E2"/>
    <w:rsid w:val="00266132"/>
    <w:rsid w:val="002C4F28"/>
    <w:rsid w:val="0031028C"/>
    <w:rsid w:val="003C33D4"/>
    <w:rsid w:val="003E7BB8"/>
    <w:rsid w:val="00421466"/>
    <w:rsid w:val="00422B85"/>
    <w:rsid w:val="004262C8"/>
    <w:rsid w:val="00435508"/>
    <w:rsid w:val="0044326C"/>
    <w:rsid w:val="004A07DC"/>
    <w:rsid w:val="004D64FA"/>
    <w:rsid w:val="00513461"/>
    <w:rsid w:val="00550FD6"/>
    <w:rsid w:val="005654E4"/>
    <w:rsid w:val="005E2674"/>
    <w:rsid w:val="005F546D"/>
    <w:rsid w:val="006235FA"/>
    <w:rsid w:val="00687EB8"/>
    <w:rsid w:val="0074141F"/>
    <w:rsid w:val="0078514D"/>
    <w:rsid w:val="007F4491"/>
    <w:rsid w:val="008136EA"/>
    <w:rsid w:val="00833B9D"/>
    <w:rsid w:val="008438A5"/>
    <w:rsid w:val="00862D78"/>
    <w:rsid w:val="009067F9"/>
    <w:rsid w:val="00932E4C"/>
    <w:rsid w:val="009378C1"/>
    <w:rsid w:val="0096637B"/>
    <w:rsid w:val="00977736"/>
    <w:rsid w:val="00997A96"/>
    <w:rsid w:val="009A2E3C"/>
    <w:rsid w:val="009A740E"/>
    <w:rsid w:val="009B76F0"/>
    <w:rsid w:val="00A55B5D"/>
    <w:rsid w:val="00A94882"/>
    <w:rsid w:val="00AB0D28"/>
    <w:rsid w:val="00AB7525"/>
    <w:rsid w:val="00AC3ECC"/>
    <w:rsid w:val="00BD686A"/>
    <w:rsid w:val="00BE0167"/>
    <w:rsid w:val="00BF18A8"/>
    <w:rsid w:val="00BF52DE"/>
    <w:rsid w:val="00BF769A"/>
    <w:rsid w:val="00C471FE"/>
    <w:rsid w:val="00CB242B"/>
    <w:rsid w:val="00CB53E0"/>
    <w:rsid w:val="00CD69F7"/>
    <w:rsid w:val="00D165F8"/>
    <w:rsid w:val="00D67298"/>
    <w:rsid w:val="00D757C0"/>
    <w:rsid w:val="00DC03C7"/>
    <w:rsid w:val="00E03B5A"/>
    <w:rsid w:val="00E9515A"/>
    <w:rsid w:val="00EB46BE"/>
    <w:rsid w:val="00EC5AB5"/>
    <w:rsid w:val="00ED08E4"/>
    <w:rsid w:val="00F07D0D"/>
    <w:rsid w:val="00F12AD0"/>
    <w:rsid w:val="00F34A15"/>
    <w:rsid w:val="00F42691"/>
    <w:rsid w:val="00F84264"/>
    <w:rsid w:val="00FA031B"/>
    <w:rsid w:val="00FC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421CF"/>
    <w:pPr>
      <w:keepNext/>
      <w:overflowPunct w:val="0"/>
      <w:autoSpaceDE w:val="0"/>
      <w:autoSpaceDN w:val="0"/>
      <w:adjustRightInd w:val="0"/>
      <w:jc w:val="center"/>
      <w:textAlignment w:val="baseline"/>
      <w:outlineLvl w:val="0"/>
    </w:pPr>
    <w:rPr>
      <w:rFonts w:eastAsia="Calibri"/>
      <w:szCs w:val="20"/>
    </w:rPr>
  </w:style>
  <w:style w:type="paragraph" w:styleId="Heading2">
    <w:name w:val="heading 2"/>
    <w:basedOn w:val="Normal"/>
    <w:next w:val="Normal"/>
    <w:qFormat/>
    <w:rsid w:val="009067F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4A8"/>
    <w:pPr>
      <w:autoSpaceDE w:val="0"/>
      <w:autoSpaceDN w:val="0"/>
      <w:adjustRightInd w:val="0"/>
    </w:pPr>
    <w:rPr>
      <w:color w:val="000000"/>
      <w:sz w:val="24"/>
      <w:szCs w:val="24"/>
    </w:rPr>
  </w:style>
  <w:style w:type="paragraph" w:styleId="BodyText">
    <w:name w:val="Body Text"/>
    <w:basedOn w:val="Default"/>
    <w:next w:val="Default"/>
    <w:rsid w:val="000444A8"/>
    <w:rPr>
      <w:color w:val="auto"/>
    </w:rPr>
  </w:style>
  <w:style w:type="paragraph" w:styleId="Header">
    <w:name w:val="header"/>
    <w:basedOn w:val="Normal"/>
    <w:link w:val="HeaderChar"/>
    <w:rsid w:val="005F546D"/>
    <w:pPr>
      <w:tabs>
        <w:tab w:val="center" w:pos="4680"/>
        <w:tab w:val="right" w:pos="9360"/>
      </w:tabs>
      <w:spacing w:line="273" w:lineRule="auto"/>
    </w:pPr>
    <w:rPr>
      <w:rFonts w:ascii="Calibri" w:hAnsi="Calibri"/>
      <w:color w:val="000000"/>
      <w:kern w:val="28"/>
      <w:sz w:val="22"/>
      <w:szCs w:val="22"/>
    </w:rPr>
  </w:style>
  <w:style w:type="character" w:customStyle="1" w:styleId="HeaderChar">
    <w:name w:val="Header Char"/>
    <w:link w:val="Header"/>
    <w:semiHidden/>
    <w:rsid w:val="005F546D"/>
    <w:rPr>
      <w:rFonts w:ascii="Calibri" w:hAnsi="Calibri"/>
      <w:color w:val="000000"/>
      <w:kern w:val="28"/>
      <w:sz w:val="22"/>
      <w:szCs w:val="22"/>
      <w:lang w:val="en-US" w:eastAsia="en-US" w:bidi="ar-SA"/>
    </w:rPr>
  </w:style>
  <w:style w:type="paragraph" w:styleId="NoSpacing">
    <w:name w:val="No Spacing"/>
    <w:qFormat/>
    <w:rsid w:val="005F546D"/>
    <w:rPr>
      <w:rFonts w:ascii="Calibri" w:hAnsi="Calibri" w:cs="Calibri"/>
      <w:sz w:val="22"/>
      <w:szCs w:val="22"/>
    </w:rPr>
  </w:style>
  <w:style w:type="paragraph" w:customStyle="1" w:styleId="msonospacing0">
    <w:name w:val="msonospacing"/>
    <w:basedOn w:val="Normal"/>
    <w:rsid w:val="005F546D"/>
    <w:rPr>
      <w:rFonts w:ascii="Calibri" w:hAnsi="Calibri"/>
      <w:sz w:val="22"/>
      <w:szCs w:val="22"/>
    </w:rPr>
  </w:style>
  <w:style w:type="character" w:customStyle="1" w:styleId="Heading1Char">
    <w:name w:val="Heading 1 Char"/>
    <w:link w:val="Heading1"/>
    <w:locked/>
    <w:rsid w:val="002421CF"/>
    <w:rPr>
      <w:rFonts w:eastAsia="Calibri"/>
      <w:sz w:val="24"/>
      <w:lang w:val="en-US" w:eastAsia="en-US" w:bidi="ar-SA"/>
    </w:rPr>
  </w:style>
  <w:style w:type="character" w:styleId="Hyperlink">
    <w:name w:val="Hyperlink"/>
    <w:rsid w:val="009067F9"/>
    <w:rPr>
      <w:color w:val="0000FF"/>
      <w:u w:val="single"/>
    </w:rPr>
  </w:style>
  <w:style w:type="character" w:styleId="FollowedHyperlink">
    <w:name w:val="FollowedHyperlink"/>
    <w:rsid w:val="009067F9"/>
    <w:rPr>
      <w:color w:val="606420"/>
      <w:u w:val="single"/>
    </w:rPr>
  </w:style>
  <w:style w:type="paragraph" w:customStyle="1" w:styleId="PolicyNumberTitle">
    <w:name w:val="Policy Number &amp; Title"/>
    <w:basedOn w:val="Normal"/>
    <w:rsid w:val="00BF769A"/>
    <w:rPr>
      <w:rFonts w:ascii="Calibri" w:eastAsia="Calibri" w:hAnsi="Calibri"/>
      <w:b/>
      <w:bCs/>
    </w:rPr>
  </w:style>
  <w:style w:type="paragraph" w:customStyle="1" w:styleId="Source">
    <w:name w:val="Source"/>
    <w:basedOn w:val="Normal"/>
    <w:rsid w:val="00BF769A"/>
    <w:rPr>
      <w:rFonts w:ascii="Calibri" w:eastAsia="Calibri" w:hAnsi="Calibri"/>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421CF"/>
    <w:pPr>
      <w:keepNext/>
      <w:overflowPunct w:val="0"/>
      <w:autoSpaceDE w:val="0"/>
      <w:autoSpaceDN w:val="0"/>
      <w:adjustRightInd w:val="0"/>
      <w:jc w:val="center"/>
      <w:textAlignment w:val="baseline"/>
      <w:outlineLvl w:val="0"/>
    </w:pPr>
    <w:rPr>
      <w:rFonts w:eastAsia="Calibri"/>
      <w:szCs w:val="20"/>
    </w:rPr>
  </w:style>
  <w:style w:type="paragraph" w:styleId="Heading2">
    <w:name w:val="heading 2"/>
    <w:basedOn w:val="Normal"/>
    <w:next w:val="Normal"/>
    <w:qFormat/>
    <w:rsid w:val="009067F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4A8"/>
    <w:pPr>
      <w:autoSpaceDE w:val="0"/>
      <w:autoSpaceDN w:val="0"/>
      <w:adjustRightInd w:val="0"/>
    </w:pPr>
    <w:rPr>
      <w:color w:val="000000"/>
      <w:sz w:val="24"/>
      <w:szCs w:val="24"/>
    </w:rPr>
  </w:style>
  <w:style w:type="paragraph" w:styleId="BodyText">
    <w:name w:val="Body Text"/>
    <w:basedOn w:val="Default"/>
    <w:next w:val="Default"/>
    <w:rsid w:val="000444A8"/>
    <w:rPr>
      <w:color w:val="auto"/>
    </w:rPr>
  </w:style>
  <w:style w:type="paragraph" w:styleId="Header">
    <w:name w:val="header"/>
    <w:basedOn w:val="Normal"/>
    <w:link w:val="HeaderChar"/>
    <w:rsid w:val="005F546D"/>
    <w:pPr>
      <w:tabs>
        <w:tab w:val="center" w:pos="4680"/>
        <w:tab w:val="right" w:pos="9360"/>
      </w:tabs>
      <w:spacing w:line="273" w:lineRule="auto"/>
    </w:pPr>
    <w:rPr>
      <w:rFonts w:ascii="Calibri" w:hAnsi="Calibri"/>
      <w:color w:val="000000"/>
      <w:kern w:val="28"/>
      <w:sz w:val="22"/>
      <w:szCs w:val="22"/>
    </w:rPr>
  </w:style>
  <w:style w:type="character" w:customStyle="1" w:styleId="HeaderChar">
    <w:name w:val="Header Char"/>
    <w:link w:val="Header"/>
    <w:semiHidden/>
    <w:rsid w:val="005F546D"/>
    <w:rPr>
      <w:rFonts w:ascii="Calibri" w:hAnsi="Calibri"/>
      <w:color w:val="000000"/>
      <w:kern w:val="28"/>
      <w:sz w:val="22"/>
      <w:szCs w:val="22"/>
      <w:lang w:val="en-US" w:eastAsia="en-US" w:bidi="ar-SA"/>
    </w:rPr>
  </w:style>
  <w:style w:type="paragraph" w:styleId="NoSpacing">
    <w:name w:val="No Spacing"/>
    <w:qFormat/>
    <w:rsid w:val="005F546D"/>
    <w:rPr>
      <w:rFonts w:ascii="Calibri" w:hAnsi="Calibri" w:cs="Calibri"/>
      <w:sz w:val="22"/>
      <w:szCs w:val="22"/>
    </w:rPr>
  </w:style>
  <w:style w:type="paragraph" w:customStyle="1" w:styleId="msonospacing0">
    <w:name w:val="msonospacing"/>
    <w:basedOn w:val="Normal"/>
    <w:rsid w:val="005F546D"/>
    <w:rPr>
      <w:rFonts w:ascii="Calibri" w:hAnsi="Calibri"/>
      <w:sz w:val="22"/>
      <w:szCs w:val="22"/>
    </w:rPr>
  </w:style>
  <w:style w:type="character" w:customStyle="1" w:styleId="Heading1Char">
    <w:name w:val="Heading 1 Char"/>
    <w:link w:val="Heading1"/>
    <w:locked/>
    <w:rsid w:val="002421CF"/>
    <w:rPr>
      <w:rFonts w:eastAsia="Calibri"/>
      <w:sz w:val="24"/>
      <w:lang w:val="en-US" w:eastAsia="en-US" w:bidi="ar-SA"/>
    </w:rPr>
  </w:style>
  <w:style w:type="character" w:styleId="Hyperlink">
    <w:name w:val="Hyperlink"/>
    <w:rsid w:val="009067F9"/>
    <w:rPr>
      <w:color w:val="0000FF"/>
      <w:u w:val="single"/>
    </w:rPr>
  </w:style>
  <w:style w:type="character" w:styleId="FollowedHyperlink">
    <w:name w:val="FollowedHyperlink"/>
    <w:rsid w:val="009067F9"/>
    <w:rPr>
      <w:color w:val="606420"/>
      <w:u w:val="single"/>
    </w:rPr>
  </w:style>
  <w:style w:type="paragraph" w:customStyle="1" w:styleId="PolicyNumberTitle">
    <w:name w:val="Policy Number &amp; Title"/>
    <w:basedOn w:val="Normal"/>
    <w:rsid w:val="00BF769A"/>
    <w:rPr>
      <w:rFonts w:ascii="Calibri" w:eastAsia="Calibri" w:hAnsi="Calibri"/>
      <w:b/>
      <w:bCs/>
    </w:rPr>
  </w:style>
  <w:style w:type="paragraph" w:customStyle="1" w:styleId="Source">
    <w:name w:val="Source"/>
    <w:basedOn w:val="Normal"/>
    <w:rsid w:val="00BF769A"/>
    <w:rPr>
      <w:rFonts w:ascii="Calibri" w:eastAsia="Calibri" w:hAnsi="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5705">
      <w:bodyDiv w:val="1"/>
      <w:marLeft w:val="0"/>
      <w:marRight w:val="0"/>
      <w:marTop w:val="0"/>
      <w:marBottom w:val="0"/>
      <w:divBdr>
        <w:top w:val="none" w:sz="0" w:space="0" w:color="auto"/>
        <w:left w:val="none" w:sz="0" w:space="0" w:color="auto"/>
        <w:bottom w:val="none" w:sz="0" w:space="0" w:color="auto"/>
        <w:right w:val="none" w:sz="0" w:space="0" w:color="auto"/>
      </w:divBdr>
    </w:div>
    <w:div w:id="133302233">
      <w:bodyDiv w:val="1"/>
      <w:marLeft w:val="0"/>
      <w:marRight w:val="0"/>
      <w:marTop w:val="0"/>
      <w:marBottom w:val="0"/>
      <w:divBdr>
        <w:top w:val="none" w:sz="0" w:space="0" w:color="auto"/>
        <w:left w:val="none" w:sz="0" w:space="0" w:color="auto"/>
        <w:bottom w:val="none" w:sz="0" w:space="0" w:color="auto"/>
        <w:right w:val="none" w:sz="0" w:space="0" w:color="auto"/>
      </w:divBdr>
    </w:div>
    <w:div w:id="256329545">
      <w:bodyDiv w:val="1"/>
      <w:marLeft w:val="0"/>
      <w:marRight w:val="0"/>
      <w:marTop w:val="0"/>
      <w:marBottom w:val="0"/>
      <w:divBdr>
        <w:top w:val="none" w:sz="0" w:space="0" w:color="auto"/>
        <w:left w:val="none" w:sz="0" w:space="0" w:color="auto"/>
        <w:bottom w:val="none" w:sz="0" w:space="0" w:color="auto"/>
        <w:right w:val="none" w:sz="0" w:space="0" w:color="auto"/>
      </w:divBdr>
    </w:div>
    <w:div w:id="445583250">
      <w:bodyDiv w:val="1"/>
      <w:marLeft w:val="0"/>
      <w:marRight w:val="0"/>
      <w:marTop w:val="0"/>
      <w:marBottom w:val="0"/>
      <w:divBdr>
        <w:top w:val="none" w:sz="0" w:space="0" w:color="auto"/>
        <w:left w:val="none" w:sz="0" w:space="0" w:color="auto"/>
        <w:bottom w:val="none" w:sz="0" w:space="0" w:color="auto"/>
        <w:right w:val="none" w:sz="0" w:space="0" w:color="auto"/>
      </w:divBdr>
    </w:div>
    <w:div w:id="1216351797">
      <w:bodyDiv w:val="1"/>
      <w:marLeft w:val="0"/>
      <w:marRight w:val="0"/>
      <w:marTop w:val="0"/>
      <w:marBottom w:val="0"/>
      <w:divBdr>
        <w:top w:val="none" w:sz="0" w:space="0" w:color="auto"/>
        <w:left w:val="none" w:sz="0" w:space="0" w:color="auto"/>
        <w:bottom w:val="none" w:sz="0" w:space="0" w:color="auto"/>
        <w:right w:val="none" w:sz="0" w:space="0" w:color="auto"/>
      </w:divBdr>
    </w:div>
    <w:div w:id="1337152806">
      <w:bodyDiv w:val="1"/>
      <w:marLeft w:val="0"/>
      <w:marRight w:val="0"/>
      <w:marTop w:val="0"/>
      <w:marBottom w:val="0"/>
      <w:divBdr>
        <w:top w:val="none" w:sz="0" w:space="0" w:color="auto"/>
        <w:left w:val="none" w:sz="0" w:space="0" w:color="auto"/>
        <w:bottom w:val="none" w:sz="0" w:space="0" w:color="auto"/>
        <w:right w:val="none" w:sz="0" w:space="0" w:color="auto"/>
      </w:divBdr>
    </w:div>
    <w:div w:id="1458404125">
      <w:bodyDiv w:val="1"/>
      <w:marLeft w:val="0"/>
      <w:marRight w:val="0"/>
      <w:marTop w:val="0"/>
      <w:marBottom w:val="0"/>
      <w:divBdr>
        <w:top w:val="none" w:sz="0" w:space="0" w:color="auto"/>
        <w:left w:val="none" w:sz="0" w:space="0" w:color="auto"/>
        <w:bottom w:val="none" w:sz="0" w:space="0" w:color="auto"/>
        <w:right w:val="none" w:sz="0" w:space="0" w:color="auto"/>
      </w:divBdr>
    </w:div>
    <w:div w:id="1562593634">
      <w:bodyDiv w:val="1"/>
      <w:marLeft w:val="0"/>
      <w:marRight w:val="0"/>
      <w:marTop w:val="0"/>
      <w:marBottom w:val="0"/>
      <w:divBdr>
        <w:top w:val="none" w:sz="0" w:space="0" w:color="auto"/>
        <w:left w:val="none" w:sz="0" w:space="0" w:color="auto"/>
        <w:bottom w:val="none" w:sz="0" w:space="0" w:color="auto"/>
        <w:right w:val="none" w:sz="0" w:space="0" w:color="auto"/>
      </w:divBdr>
    </w:div>
    <w:div w:id="18306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2505</Words>
  <Characters>14279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REPORT OF THE PHARMACY MANAGEMENT DIVISION</vt:lpstr>
    </vt:vector>
  </TitlesOfParts>
  <Company>Kaleida Health</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PHARMACY MANAGEMENT DIVISION</dc:title>
  <dc:creator>Seyse, Stephanie</dc:creator>
  <cp:lastModifiedBy>sflynn</cp:lastModifiedBy>
  <cp:revision>2</cp:revision>
  <cp:lastPrinted>2011-09-01T14:02:00Z</cp:lastPrinted>
  <dcterms:created xsi:type="dcterms:W3CDTF">2016-03-07T16:20:00Z</dcterms:created>
  <dcterms:modified xsi:type="dcterms:W3CDTF">2016-03-07T16:20:00Z</dcterms:modified>
</cp:coreProperties>
</file>