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Layout w:type="fixed"/>
        <w:tblLook w:val="01E0" w:firstRow="1" w:lastRow="1" w:firstColumn="1" w:lastColumn="1" w:noHBand="0" w:noVBand="0"/>
      </w:tblPr>
      <w:tblGrid>
        <w:gridCol w:w="1908"/>
        <w:gridCol w:w="7758"/>
      </w:tblGrid>
      <w:tr w:rsidR="00997FDA" w:rsidRPr="00AC6219">
        <w:trPr>
          <w:trHeight w:val="435"/>
        </w:trPr>
        <w:tc>
          <w:tcPr>
            <w:tcW w:w="1908" w:type="dxa"/>
            <w:vMerge w:val="restart"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b/>
                <w:sz w:val="24"/>
                <w:szCs w:val="24"/>
              </w:rPr>
              <w:t>The New York State Council of Health-system Pharmacists</w:t>
            </w:r>
          </w:p>
        </w:tc>
      </w:tr>
      <w:tr w:rsidR="00997FDA" w:rsidRPr="00AC6219">
        <w:trPr>
          <w:trHeight w:val="1187"/>
        </w:trPr>
        <w:tc>
          <w:tcPr>
            <w:tcW w:w="1908" w:type="dxa"/>
            <w:vMerge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t xml:space="preserve">210 Washington Avenue Extension </w:t>
            </w:r>
            <w:r w:rsidRPr="00AC621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C6219">
              <w:rPr>
                <w:rFonts w:ascii="Times New Roman" w:hAnsi="Times New Roman"/>
                <w:sz w:val="24"/>
                <w:szCs w:val="24"/>
              </w:rPr>
              <w:t xml:space="preserve"> Albany, NY 12203</w:t>
            </w:r>
          </w:p>
          <w:p w:rsidR="00997FDA" w:rsidRPr="00AC6219" w:rsidRDefault="0099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t xml:space="preserve">(518) 456-8819 </w:t>
            </w:r>
            <w:r w:rsidRPr="00AC621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C6219">
              <w:rPr>
                <w:rFonts w:ascii="Times New Roman" w:hAnsi="Times New Roman"/>
                <w:sz w:val="24"/>
                <w:szCs w:val="24"/>
              </w:rPr>
              <w:t xml:space="preserve"> Fax: (518) 456-9319</w:t>
            </w:r>
          </w:p>
        </w:tc>
      </w:tr>
    </w:tbl>
    <w:p w:rsidR="00997FDA" w:rsidRPr="00AC6219" w:rsidRDefault="00161CBD" w:rsidP="00997F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Immunization Authority Expansion to all CDC-recommended Vaccines</w:t>
      </w:r>
    </w:p>
    <w:p w:rsidR="00997FDA" w:rsidRPr="00F106D6" w:rsidRDefault="006A50B7" w:rsidP="00997F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S5277</w:t>
      </w:r>
      <w:r w:rsidR="00F03AE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May</w:t>
      </w:r>
      <w:r w:rsidR="00F03AE2">
        <w:rPr>
          <w:rFonts w:ascii="Times New Roman" w:hAnsi="Times New Roman"/>
          <w:sz w:val="24"/>
          <w:szCs w:val="24"/>
        </w:rPr>
        <w:t>)/A</w:t>
      </w:r>
      <w:r>
        <w:rPr>
          <w:rFonts w:ascii="Times New Roman" w:hAnsi="Times New Roman"/>
          <w:sz w:val="24"/>
          <w:szCs w:val="24"/>
        </w:rPr>
        <w:t>6511</w:t>
      </w:r>
      <w:r w:rsidR="00F03AE2">
        <w:rPr>
          <w:rFonts w:ascii="Times New Roman" w:hAnsi="Times New Roman"/>
          <w:sz w:val="24"/>
          <w:szCs w:val="24"/>
        </w:rPr>
        <w:t xml:space="preserve"> (Paulin)</w:t>
      </w:r>
    </w:p>
    <w:p w:rsidR="00997FDA" w:rsidRDefault="00997FDA">
      <w:pPr>
        <w:jc w:val="center"/>
        <w:rPr>
          <w:rFonts w:ascii="Times New Roman" w:hAnsi="Times New Roman"/>
          <w:sz w:val="24"/>
          <w:szCs w:val="24"/>
        </w:rPr>
      </w:pPr>
    </w:p>
    <w:p w:rsidR="00997FDA" w:rsidRPr="00AC6219" w:rsidRDefault="00997FDA" w:rsidP="00997FDA">
      <w:pPr>
        <w:jc w:val="center"/>
        <w:rPr>
          <w:rFonts w:ascii="Times New Roman" w:hAnsi="Times New Roman"/>
          <w:b/>
          <w:sz w:val="24"/>
          <w:szCs w:val="24"/>
        </w:rPr>
      </w:pPr>
      <w:r w:rsidRPr="00AC6219">
        <w:rPr>
          <w:rFonts w:ascii="Times New Roman" w:hAnsi="Times New Roman"/>
          <w:b/>
          <w:sz w:val="24"/>
          <w:szCs w:val="24"/>
        </w:rPr>
        <w:t xml:space="preserve">Fact Sheet </w:t>
      </w:r>
    </w:p>
    <w:p w:rsidR="00997FDA" w:rsidRDefault="006A50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15</w:t>
      </w:r>
      <w:r w:rsidRPr="006A50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2019</w:t>
      </w:r>
    </w:p>
    <w:p w:rsidR="00F03AE2" w:rsidRPr="00AC6219" w:rsidRDefault="00F03AE2">
      <w:pPr>
        <w:jc w:val="center"/>
        <w:rPr>
          <w:rFonts w:ascii="Times New Roman" w:hAnsi="Times New Roman"/>
          <w:sz w:val="24"/>
          <w:szCs w:val="24"/>
        </w:rPr>
      </w:pPr>
    </w:p>
    <w:p w:rsidR="00997FDA" w:rsidRPr="008375C5" w:rsidRDefault="008375C5">
      <w:pPr>
        <w:rPr>
          <w:rFonts w:ascii="Times New Roman" w:hAnsi="Times New Roman"/>
          <w:sz w:val="24"/>
          <w:szCs w:val="24"/>
          <w:u w:val="single"/>
        </w:rPr>
      </w:pPr>
      <w:r w:rsidRPr="008375C5">
        <w:rPr>
          <w:rFonts w:ascii="Times New Roman" w:hAnsi="Times New Roman"/>
          <w:b/>
          <w:sz w:val="24"/>
          <w:szCs w:val="24"/>
          <w:u w:val="single"/>
        </w:rPr>
        <w:t>Who the bill applies to</w:t>
      </w:r>
      <w:r w:rsidR="00997FDA" w:rsidRPr="008375C5">
        <w:rPr>
          <w:rFonts w:ascii="Times New Roman" w:hAnsi="Times New Roman"/>
          <w:sz w:val="24"/>
          <w:szCs w:val="24"/>
          <w:u w:val="single"/>
        </w:rPr>
        <w:t>:</w:t>
      </w:r>
    </w:p>
    <w:p w:rsidR="008375C5" w:rsidRDefault="00F03AE2" w:rsidP="00D81AD9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Approximately 13,000 pharmacists certified as immunizers by the Education Department</w:t>
      </w:r>
    </w:p>
    <w:p w:rsidR="008375C5" w:rsidRDefault="008375C5" w:rsidP="008375C5">
      <w:pPr>
        <w:rPr>
          <w:rFonts w:ascii="Times New Roman" w:hAnsi="Times New Roman"/>
          <w:sz w:val="24"/>
          <w:szCs w:val="24"/>
        </w:rPr>
      </w:pPr>
    </w:p>
    <w:p w:rsidR="008375C5" w:rsidRPr="008375C5" w:rsidRDefault="008375C5" w:rsidP="008375C5">
      <w:pPr>
        <w:rPr>
          <w:rFonts w:ascii="Times New Roman" w:hAnsi="Times New Roman"/>
          <w:b/>
          <w:sz w:val="24"/>
          <w:szCs w:val="24"/>
          <w:u w:val="single"/>
        </w:rPr>
      </w:pPr>
      <w:r w:rsidRPr="008375C5">
        <w:rPr>
          <w:rFonts w:ascii="Times New Roman" w:hAnsi="Times New Roman"/>
          <w:b/>
          <w:sz w:val="24"/>
          <w:szCs w:val="24"/>
          <w:u w:val="single"/>
        </w:rPr>
        <w:t>What the bill does:</w:t>
      </w:r>
    </w:p>
    <w:p w:rsidR="008375C5" w:rsidRDefault="008B3B68" w:rsidP="008375C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Makes permanent the law which authorizes immunization by Pharmacist (enacted in 2008)</w:t>
      </w:r>
    </w:p>
    <w:p w:rsidR="008B3B68" w:rsidRDefault="008B3B68" w:rsidP="008375C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Removes the requirement that the physician or nurse practitioner who issues a non-patient-specific order must be in the same of adjoining county as the Pharmacist who executes the order</w:t>
      </w:r>
    </w:p>
    <w:p w:rsidR="008B3B68" w:rsidRDefault="008B3B68" w:rsidP="008375C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Replaces the list of specific vaccines (influenza, pneumococcal, acute herpes zoster, meningococcal, tetanus, diphtheria and pertussis) with all CDC-recommended vaccines for adults. These are Hepatitis A and B, varicella, human papilloma virus and measles, mumps, and rubella</w:t>
      </w:r>
      <w:r w:rsidR="006A50B7">
        <w:rPr>
          <w:rFonts w:ascii="Times New Roman" w:hAnsi="Times New Roman"/>
          <w:sz w:val="24"/>
          <w:szCs w:val="24"/>
        </w:rPr>
        <w:t>. During time of measles outbreak, it is hard to believe that pharmacists in NY do not have the ability to provide this vital immunization</w:t>
      </w:r>
    </w:p>
    <w:p w:rsidR="008375C5" w:rsidRDefault="008375C5" w:rsidP="008375C5">
      <w:pPr>
        <w:rPr>
          <w:rFonts w:ascii="Times New Roman" w:hAnsi="Times New Roman"/>
          <w:sz w:val="24"/>
          <w:szCs w:val="24"/>
        </w:rPr>
      </w:pPr>
    </w:p>
    <w:p w:rsidR="008375C5" w:rsidRPr="008375C5" w:rsidRDefault="008375C5" w:rsidP="008375C5">
      <w:pPr>
        <w:rPr>
          <w:rFonts w:ascii="Times New Roman" w:hAnsi="Times New Roman"/>
          <w:b/>
          <w:sz w:val="24"/>
          <w:szCs w:val="24"/>
          <w:u w:val="single"/>
        </w:rPr>
      </w:pPr>
      <w:r w:rsidRPr="008375C5">
        <w:rPr>
          <w:rFonts w:ascii="Times New Roman" w:hAnsi="Times New Roman"/>
          <w:b/>
          <w:sz w:val="24"/>
          <w:szCs w:val="24"/>
          <w:u w:val="single"/>
        </w:rPr>
        <w:t>Why this legislation is needed:</w:t>
      </w:r>
    </w:p>
    <w:p w:rsidR="008B3B68" w:rsidRDefault="008B3B68" w:rsidP="00997FDA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law sunsets July, 20</w:t>
      </w:r>
      <w:r w:rsidR="00860D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Passage ensures any necessary regulations will be in place</w:t>
      </w:r>
    </w:p>
    <w:p w:rsidR="008B3B68" w:rsidRDefault="008B3B68" w:rsidP="00997FDA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prevention and reduce healthcare costs</w:t>
      </w:r>
    </w:p>
    <w:p w:rsidR="008B3B68" w:rsidRDefault="008B3B68" w:rsidP="00997FDA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Advances the NYS Health Department Prevention Agenda 2013-2018 to</w:t>
      </w:r>
    </w:p>
    <w:p w:rsidR="008B3B68" w:rsidRDefault="008B3B68" w:rsidP="008B3B68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Decrease pertussis disease</w:t>
      </w:r>
    </w:p>
    <w:p w:rsidR="008B3B68" w:rsidRDefault="008B3B68" w:rsidP="008B3B68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Decrease influenza disease</w:t>
      </w:r>
    </w:p>
    <w:p w:rsidR="008B3B68" w:rsidRDefault="008B3B68" w:rsidP="008B3B68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the number of providers of pneumococcal vaccine to adults</w:t>
      </w:r>
    </w:p>
    <w:p w:rsidR="008B3B68" w:rsidRDefault="008B3B68" w:rsidP="008B3B68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Decrease the burden of disease caused by human papillomavirus</w:t>
      </w:r>
    </w:p>
    <w:p w:rsidR="008B3B68" w:rsidRDefault="008B3B68" w:rsidP="008B3B68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 adult immunization rates for </w:t>
      </w:r>
      <w:proofErr w:type="spellStart"/>
      <w:r>
        <w:rPr>
          <w:rFonts w:ascii="Times New Roman" w:hAnsi="Times New Roman"/>
          <w:sz w:val="24"/>
          <w:szCs w:val="24"/>
        </w:rPr>
        <w:t>Tdap</w:t>
      </w:r>
      <w:proofErr w:type="spellEnd"/>
      <w:r>
        <w:rPr>
          <w:rFonts w:ascii="Times New Roman" w:hAnsi="Times New Roman"/>
          <w:sz w:val="24"/>
          <w:szCs w:val="24"/>
        </w:rPr>
        <w:t>, influenza, pneumococcal and HPV</w:t>
      </w:r>
    </w:p>
    <w:p w:rsidR="008B3B68" w:rsidRDefault="008B3B68" w:rsidP="008B3B68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rule in current law is restricting access to vaccines, in the areas (mostly upstate) with low adult immunization rates and which are considered medically underserved</w:t>
      </w:r>
    </w:p>
    <w:p w:rsidR="008B3B68" w:rsidRDefault="008B3B68" w:rsidP="008B3B68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Helps to reduce health disparities</w:t>
      </w:r>
    </w:p>
    <w:p w:rsidR="008B3B68" w:rsidRDefault="008B3B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97FDA" w:rsidRPr="008375C5" w:rsidRDefault="00997FDA">
      <w:pPr>
        <w:rPr>
          <w:rFonts w:ascii="Times New Roman" w:hAnsi="Times New Roman"/>
          <w:b/>
          <w:sz w:val="24"/>
          <w:szCs w:val="24"/>
          <w:u w:val="single"/>
        </w:rPr>
      </w:pPr>
      <w:r w:rsidRPr="008375C5">
        <w:rPr>
          <w:rFonts w:ascii="Times New Roman" w:hAnsi="Times New Roman"/>
          <w:b/>
          <w:sz w:val="24"/>
          <w:szCs w:val="24"/>
          <w:u w:val="single"/>
        </w:rPr>
        <w:t>Support:</w:t>
      </w:r>
    </w:p>
    <w:p w:rsidR="00997FDA" w:rsidRPr="008375C5" w:rsidRDefault="006A50B7" w:rsidP="008375C5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York State Council of Health System Pharmacists,</w:t>
      </w:r>
      <w:r>
        <w:rPr>
          <w:rFonts w:ascii="Times New Roman" w:hAnsi="Times New Roman"/>
          <w:sz w:val="24"/>
          <w:szCs w:val="24"/>
        </w:rPr>
        <w:t xml:space="preserve"> </w:t>
      </w:r>
      <w:r w:rsidR="008375C5">
        <w:rPr>
          <w:rFonts w:ascii="Times New Roman" w:hAnsi="Times New Roman"/>
          <w:sz w:val="24"/>
          <w:szCs w:val="24"/>
        </w:rPr>
        <w:t xml:space="preserve">Pharmacists Society of the State of New York, </w:t>
      </w:r>
      <w:r>
        <w:rPr>
          <w:rFonts w:ascii="Times New Roman" w:hAnsi="Times New Roman"/>
          <w:sz w:val="24"/>
          <w:szCs w:val="24"/>
        </w:rPr>
        <w:t xml:space="preserve">Community </w:t>
      </w:r>
      <w:r w:rsidR="008375C5">
        <w:rPr>
          <w:rFonts w:ascii="Times New Roman" w:hAnsi="Times New Roman"/>
          <w:sz w:val="24"/>
          <w:szCs w:val="24"/>
        </w:rPr>
        <w:t>Pharmacy Association of New York, the New York Chapter of the American Society of Consultant Pharmacists</w:t>
      </w:r>
      <w:bookmarkStart w:id="0" w:name="_GoBack"/>
      <w:bookmarkEnd w:id="0"/>
    </w:p>
    <w:sectPr w:rsidR="00997FDA" w:rsidRPr="00837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17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1" w:rsidRDefault="005F3141">
      <w:r>
        <w:separator/>
      </w:r>
    </w:p>
  </w:endnote>
  <w:endnote w:type="continuationSeparator" w:id="0">
    <w:p w:rsidR="005F3141" w:rsidRDefault="005F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1" w:rsidRDefault="005F3141">
      <w:r>
        <w:separator/>
      </w:r>
    </w:p>
  </w:footnote>
  <w:footnote w:type="continuationSeparator" w:id="0">
    <w:p w:rsidR="005F3141" w:rsidRDefault="005F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DA" w:rsidRDefault="00997FDA">
    <w:pPr>
      <w:pStyle w:val="Header"/>
      <w:rPr>
        <w:rFonts w:ascii="Times New Roman" w:hAnsi="Times New Roman"/>
      </w:rPr>
    </w:pPr>
    <w:r>
      <w:rPr>
        <w:rFonts w:ascii="Times New Roman" w:hAnsi="Times New Roman"/>
        <w:snapToGrid w:val="0"/>
      </w:rPr>
      <w:t xml:space="preserve">Page </w:t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PAGE </w:instrText>
    </w:r>
    <w:r>
      <w:rPr>
        <w:rFonts w:ascii="Times New Roman" w:hAnsi="Times New Roman"/>
        <w:snapToGrid w:val="0"/>
      </w:rPr>
      <w:fldChar w:fldCharType="separate"/>
    </w:r>
    <w:r w:rsidR="008B3B68">
      <w:rPr>
        <w:rFonts w:ascii="Times New Roman" w:hAnsi="Times New Roman"/>
        <w:noProof/>
        <w:snapToGrid w:val="0"/>
      </w:rPr>
      <w:t>2</w:t>
    </w:r>
    <w:r>
      <w:rPr>
        <w:rFonts w:ascii="Times New Roman" w:hAnsi="Times New Roman"/>
        <w:snapToGrid w:val="0"/>
      </w:rPr>
      <w:fldChar w:fldCharType="end"/>
    </w:r>
    <w:r>
      <w:rPr>
        <w:rFonts w:ascii="Times New Roman" w:hAnsi="Times New Roman"/>
        <w:snapToGrid w:val="0"/>
      </w:rPr>
      <w:t xml:space="preserve"> of </w:t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NUMPAGES </w:instrText>
    </w:r>
    <w:r>
      <w:rPr>
        <w:rFonts w:ascii="Times New Roman" w:hAnsi="Times New Roman"/>
        <w:snapToGrid w:val="0"/>
      </w:rPr>
      <w:fldChar w:fldCharType="separate"/>
    </w:r>
    <w:r w:rsidR="00CC6AA8">
      <w:rPr>
        <w:rFonts w:ascii="Times New Roman" w:hAnsi="Times New Roman"/>
        <w:noProof/>
        <w:snapToGrid w:val="0"/>
      </w:rPr>
      <w:t>1</w:t>
    </w:r>
    <w:r>
      <w:rPr>
        <w:rFonts w:ascii="Times New Roman" w:hAnsi="Times New Roman"/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E9"/>
    <w:multiLevelType w:val="hybridMultilevel"/>
    <w:tmpl w:val="7488E26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21B63D4"/>
    <w:multiLevelType w:val="multilevel"/>
    <w:tmpl w:val="59BA9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4F1A62"/>
    <w:multiLevelType w:val="hybridMultilevel"/>
    <w:tmpl w:val="CE423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0C1DB2"/>
    <w:multiLevelType w:val="hybridMultilevel"/>
    <w:tmpl w:val="0DE44B3C"/>
    <w:lvl w:ilvl="0" w:tplc="7FF8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7AE3EB9"/>
    <w:multiLevelType w:val="multilevel"/>
    <w:tmpl w:val="C7906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385E"/>
    <w:multiLevelType w:val="hybridMultilevel"/>
    <w:tmpl w:val="75721CCE"/>
    <w:lvl w:ilvl="0" w:tplc="60620A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3F545A"/>
    <w:multiLevelType w:val="multilevel"/>
    <w:tmpl w:val="A412E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A5CDF"/>
    <w:multiLevelType w:val="hybridMultilevel"/>
    <w:tmpl w:val="4AC4A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43D62F1"/>
    <w:multiLevelType w:val="hybridMultilevel"/>
    <w:tmpl w:val="59BA9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3B7EC7"/>
    <w:multiLevelType w:val="hybridMultilevel"/>
    <w:tmpl w:val="EE5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A2D0D"/>
    <w:multiLevelType w:val="hybridMultilevel"/>
    <w:tmpl w:val="D84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7C9A"/>
    <w:multiLevelType w:val="hybridMultilevel"/>
    <w:tmpl w:val="C79068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B7E53"/>
    <w:multiLevelType w:val="hybridMultilevel"/>
    <w:tmpl w:val="03AE9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0311EF"/>
    <w:multiLevelType w:val="hybridMultilevel"/>
    <w:tmpl w:val="DF149130"/>
    <w:lvl w:ilvl="0" w:tplc="2D30D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7FF8F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C2C70"/>
    <w:multiLevelType w:val="hybridMultilevel"/>
    <w:tmpl w:val="2104E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67942"/>
    <w:multiLevelType w:val="hybridMultilevel"/>
    <w:tmpl w:val="F7F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559DE"/>
    <w:multiLevelType w:val="hybridMultilevel"/>
    <w:tmpl w:val="453C6552"/>
    <w:lvl w:ilvl="0" w:tplc="56E2B2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6023990"/>
    <w:multiLevelType w:val="hybridMultilevel"/>
    <w:tmpl w:val="D5C0C0A0"/>
    <w:lvl w:ilvl="0" w:tplc="740EC68C">
      <w:start w:val="3"/>
      <w:numFmt w:val="upperLetter"/>
      <w:lvlText w:val="%1.)"/>
      <w:lvlJc w:val="left"/>
      <w:pPr>
        <w:tabs>
          <w:tab w:val="num" w:pos="990"/>
        </w:tabs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38083B1C"/>
    <w:multiLevelType w:val="hybridMultilevel"/>
    <w:tmpl w:val="A2D440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B743A"/>
    <w:multiLevelType w:val="multilevel"/>
    <w:tmpl w:val="35A67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27CAE"/>
    <w:multiLevelType w:val="hybridMultilevel"/>
    <w:tmpl w:val="F2289456"/>
    <w:lvl w:ilvl="0" w:tplc="7FF8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3A35685"/>
    <w:multiLevelType w:val="multilevel"/>
    <w:tmpl w:val="C8587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42098"/>
    <w:multiLevelType w:val="hybridMultilevel"/>
    <w:tmpl w:val="49D84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030AB"/>
    <w:multiLevelType w:val="hybridMultilevel"/>
    <w:tmpl w:val="B5B09418"/>
    <w:lvl w:ilvl="0" w:tplc="60620A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B944A2"/>
    <w:multiLevelType w:val="hybridMultilevel"/>
    <w:tmpl w:val="DFB24BA8"/>
    <w:lvl w:ilvl="0" w:tplc="BB1EF9EC">
      <w:start w:val="1"/>
      <w:numFmt w:val="decimal"/>
      <w:lvlText w:val="%1.)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7E3761"/>
    <w:multiLevelType w:val="hybridMultilevel"/>
    <w:tmpl w:val="EB62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D3F3B"/>
    <w:multiLevelType w:val="hybridMultilevel"/>
    <w:tmpl w:val="D6F63622"/>
    <w:lvl w:ilvl="0" w:tplc="3FAE4C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6DE4006F"/>
    <w:multiLevelType w:val="multilevel"/>
    <w:tmpl w:val="FE941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51167D"/>
    <w:multiLevelType w:val="hybridMultilevel"/>
    <w:tmpl w:val="BED2FF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71F06"/>
    <w:multiLevelType w:val="hybridMultilevel"/>
    <w:tmpl w:val="21E26164"/>
    <w:lvl w:ilvl="0" w:tplc="A3DCD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D951FF"/>
    <w:multiLevelType w:val="hybridMultilevel"/>
    <w:tmpl w:val="9BD81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B7418"/>
    <w:multiLevelType w:val="hybridMultilevel"/>
    <w:tmpl w:val="FE941B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67C48A5"/>
    <w:multiLevelType w:val="hybridMultilevel"/>
    <w:tmpl w:val="5502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C197D"/>
    <w:multiLevelType w:val="hybridMultilevel"/>
    <w:tmpl w:val="F5347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2176C"/>
    <w:multiLevelType w:val="hybridMultilevel"/>
    <w:tmpl w:val="6B3C7B76"/>
    <w:lvl w:ilvl="0" w:tplc="2D30D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947F88"/>
    <w:multiLevelType w:val="hybridMultilevel"/>
    <w:tmpl w:val="C7C6A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7D4224C4"/>
    <w:multiLevelType w:val="hybridMultilevel"/>
    <w:tmpl w:val="387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8506F"/>
    <w:multiLevelType w:val="hybridMultilevel"/>
    <w:tmpl w:val="6AC81BF4"/>
    <w:lvl w:ilvl="0" w:tplc="BB9A9946">
      <w:start w:val="1"/>
      <w:numFmt w:val="upperLetter"/>
      <w:lvlText w:val="%1.)"/>
      <w:lvlJc w:val="left"/>
      <w:pPr>
        <w:tabs>
          <w:tab w:val="num" w:pos="990"/>
        </w:tabs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3"/>
  </w:num>
  <w:num w:numId="5">
    <w:abstractNumId w:val="3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5"/>
  </w:num>
  <w:num w:numId="10">
    <w:abstractNumId w:val="26"/>
  </w:num>
  <w:num w:numId="11">
    <w:abstractNumId w:val="7"/>
  </w:num>
  <w:num w:numId="12">
    <w:abstractNumId w:val="16"/>
  </w:num>
  <w:num w:numId="13">
    <w:abstractNumId w:val="31"/>
  </w:num>
  <w:num w:numId="14">
    <w:abstractNumId w:val="1"/>
  </w:num>
  <w:num w:numId="15">
    <w:abstractNumId w:val="5"/>
  </w:num>
  <w:num w:numId="16">
    <w:abstractNumId w:val="27"/>
  </w:num>
  <w:num w:numId="17">
    <w:abstractNumId w:val="23"/>
  </w:num>
  <w:num w:numId="18">
    <w:abstractNumId w:val="11"/>
  </w:num>
  <w:num w:numId="19">
    <w:abstractNumId w:val="4"/>
  </w:num>
  <w:num w:numId="20">
    <w:abstractNumId w:val="32"/>
  </w:num>
  <w:num w:numId="21">
    <w:abstractNumId w:val="2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7"/>
  </w:num>
  <w:num w:numId="26">
    <w:abstractNumId w:val="17"/>
  </w:num>
  <w:num w:numId="27">
    <w:abstractNumId w:val="2"/>
  </w:num>
  <w:num w:numId="28">
    <w:abstractNumId w:val="21"/>
  </w:num>
  <w:num w:numId="29">
    <w:abstractNumId w:val="19"/>
  </w:num>
  <w:num w:numId="30">
    <w:abstractNumId w:val="6"/>
  </w:num>
  <w:num w:numId="31">
    <w:abstractNumId w:val="28"/>
  </w:num>
  <w:num w:numId="32">
    <w:abstractNumId w:val="29"/>
  </w:num>
  <w:num w:numId="33">
    <w:abstractNumId w:val="15"/>
  </w:num>
  <w:num w:numId="34">
    <w:abstractNumId w:val="10"/>
  </w:num>
  <w:num w:numId="35">
    <w:abstractNumId w:val="36"/>
  </w:num>
  <w:num w:numId="36">
    <w:abstractNumId w:val="9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1"/>
    <w:docVar w:name="85TrailerDraft" w:val="0"/>
    <w:docVar w:name="85TrailerTime" w:val="1"/>
    <w:docVar w:name="85TrailerType" w:val="102"/>
    <w:docVar w:name="MPDocID" w:val="-7.-1"/>
    <w:docVar w:name="MPDocIDTemplateDefault" w:val="%n|.%v"/>
    <w:docVar w:name="NewDocStampType" w:val="7"/>
  </w:docVars>
  <w:rsids>
    <w:rsidRoot w:val="00BF2533"/>
    <w:rsid w:val="000039A4"/>
    <w:rsid w:val="000111B5"/>
    <w:rsid w:val="00056617"/>
    <w:rsid w:val="000F11E1"/>
    <w:rsid w:val="00142335"/>
    <w:rsid w:val="00161CBD"/>
    <w:rsid w:val="00170128"/>
    <w:rsid w:val="0018283D"/>
    <w:rsid w:val="001B7FC6"/>
    <w:rsid w:val="0020591A"/>
    <w:rsid w:val="002330BC"/>
    <w:rsid w:val="002F318F"/>
    <w:rsid w:val="003E741A"/>
    <w:rsid w:val="0046285F"/>
    <w:rsid w:val="00481C4F"/>
    <w:rsid w:val="00512191"/>
    <w:rsid w:val="005C0C67"/>
    <w:rsid w:val="005F3141"/>
    <w:rsid w:val="00653809"/>
    <w:rsid w:val="006A50B7"/>
    <w:rsid w:val="006A65A8"/>
    <w:rsid w:val="006E3581"/>
    <w:rsid w:val="0071121E"/>
    <w:rsid w:val="00800482"/>
    <w:rsid w:val="008375C5"/>
    <w:rsid w:val="00860DA1"/>
    <w:rsid w:val="008B3B68"/>
    <w:rsid w:val="00982651"/>
    <w:rsid w:val="0098575D"/>
    <w:rsid w:val="00997FDA"/>
    <w:rsid w:val="009F408F"/>
    <w:rsid w:val="00A26F24"/>
    <w:rsid w:val="00AF7A8C"/>
    <w:rsid w:val="00B33174"/>
    <w:rsid w:val="00BB7C2B"/>
    <w:rsid w:val="00BE3A34"/>
    <w:rsid w:val="00CA16C5"/>
    <w:rsid w:val="00CC6AA8"/>
    <w:rsid w:val="00D3119B"/>
    <w:rsid w:val="00D81AD9"/>
    <w:rsid w:val="00E00C4E"/>
    <w:rsid w:val="00E63EDE"/>
    <w:rsid w:val="00F03AE2"/>
    <w:rsid w:val="00FC1174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1">
    <w:name w:val="index 1"/>
    <w:basedOn w:val="Heading1"/>
    <w:next w:val="Heading1"/>
    <w:autoRedefine/>
    <w:semiHidden/>
    <w:pPr>
      <w:spacing w:before="0" w:after="0"/>
      <w:ind w:left="200" w:hanging="200"/>
    </w:pPr>
    <w:rPr>
      <w:rFonts w:cs="Times New Roman"/>
      <w:b w:val="0"/>
      <w:bCs w:val="0"/>
      <w:i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2">
    <w:name w:val="index 2"/>
    <w:basedOn w:val="Heading2"/>
    <w:next w:val="Heading2"/>
    <w:autoRedefine/>
    <w:semiHidden/>
    <w:pPr>
      <w:spacing w:before="0" w:after="0"/>
    </w:pPr>
    <w:rPr>
      <w:rFonts w:cs="Times New Roman"/>
      <w:bCs w:val="0"/>
      <w:i w:val="0"/>
      <w:iCs w:val="0"/>
      <w:color w:val="FF0000"/>
      <w:sz w:val="18"/>
      <w:szCs w:val="18"/>
      <w:u w:val="single"/>
    </w:rPr>
  </w:style>
  <w:style w:type="paragraph" w:styleId="Index3">
    <w:name w:val="index 3"/>
    <w:basedOn w:val="Heading3"/>
    <w:next w:val="Heading3"/>
    <w:autoRedefine/>
    <w:semiHidden/>
    <w:pPr>
      <w:spacing w:before="0" w:after="0"/>
      <w:ind w:left="920" w:hanging="200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Index4">
    <w:name w:val="index 4"/>
    <w:basedOn w:val="Heading4"/>
    <w:next w:val="Heading4"/>
    <w:autoRedefine/>
    <w:semiHidden/>
    <w:pPr>
      <w:spacing w:before="0" w:after="0"/>
      <w:ind w:left="200" w:hanging="200"/>
    </w:pPr>
    <w:rPr>
      <w:rFonts w:ascii="Arial" w:hAnsi="Arial"/>
      <w:b w:val="0"/>
      <w:bCs w:val="0"/>
      <w:color w:val="800080"/>
      <w:sz w:val="18"/>
      <w:szCs w:val="18"/>
    </w:rPr>
  </w:style>
  <w:style w:type="paragraph" w:styleId="Index5">
    <w:name w:val="index 5"/>
    <w:basedOn w:val="Heading5"/>
    <w:next w:val="Heading5"/>
    <w:autoRedefine/>
    <w:semiHidden/>
    <w:pPr>
      <w:keepNext/>
      <w:spacing w:before="0" w:after="0"/>
      <w:ind w:left="920" w:hanging="200"/>
    </w:pPr>
    <w:rPr>
      <w:b w:val="0"/>
      <w:bCs w:val="0"/>
      <w:i w:val="0"/>
      <w:iCs w:val="0"/>
      <w:sz w:val="18"/>
      <w:szCs w:val="18"/>
    </w:rPr>
  </w:style>
  <w:style w:type="paragraph" w:styleId="TOC2">
    <w:name w:val="toc 2"/>
    <w:basedOn w:val="Heading2"/>
    <w:next w:val="Heading2"/>
    <w:autoRedefine/>
    <w:semiHidden/>
    <w:pPr>
      <w:keepNext w:val="0"/>
      <w:framePr w:wrap="around" w:vAnchor="text" w:hAnchor="text" w:y="1"/>
      <w:spacing w:before="0" w:after="0"/>
    </w:pPr>
    <w:rPr>
      <w:rFonts w:cs="Times New Roman"/>
      <w:bCs w:val="0"/>
      <w:i w:val="0"/>
      <w:iCs w:val="0"/>
      <w:color w:val="FF0000"/>
      <w:sz w:val="18"/>
      <w:szCs w:val="22"/>
      <w:u w:val="words"/>
    </w:rPr>
  </w:style>
  <w:style w:type="paragraph" w:styleId="TOC1">
    <w:name w:val="toc 1"/>
    <w:basedOn w:val="Heading1"/>
    <w:next w:val="Heading1"/>
    <w:autoRedefine/>
    <w:semiHidden/>
    <w:pPr>
      <w:keepNext w:val="0"/>
      <w:spacing w:before="0" w:after="120"/>
      <w:outlineLvl w:val="9"/>
    </w:pPr>
    <w:rPr>
      <w:rFonts w:cs="Times New Roman"/>
      <w:b w:val="0"/>
      <w:iCs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Heading3"/>
    <w:next w:val="Heading3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TOC4">
    <w:name w:val="toc 4"/>
    <w:basedOn w:val="Heading4"/>
    <w:next w:val="Heading4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ascii="Arial" w:hAnsi="Arial"/>
      <w:b w:val="0"/>
      <w:bCs w:val="0"/>
      <w:color w:val="800080"/>
      <w:sz w:val="18"/>
      <w:szCs w:val="18"/>
    </w:rPr>
  </w:style>
  <w:style w:type="paragraph" w:styleId="TOC5">
    <w:name w:val="toc 5"/>
    <w:basedOn w:val="Heading5"/>
    <w:next w:val="Heading5"/>
    <w:autoRedefine/>
    <w:semiHidden/>
    <w:pPr>
      <w:widowControl w:val="0"/>
      <w:pBdr>
        <w:between w:val="double" w:sz="6" w:space="1" w:color="auto"/>
      </w:pBdr>
      <w:shd w:val="clear" w:color="auto" w:fill="FFFFFF"/>
      <w:spacing w:before="0" w:after="0"/>
      <w:ind w:left="576" w:hanging="288"/>
      <w:outlineLvl w:val="9"/>
    </w:pPr>
    <w:rPr>
      <w:bCs w:val="0"/>
      <w:i w:val="0"/>
      <w:iCs w:val="0"/>
      <w:sz w:val="18"/>
      <w:szCs w:val="18"/>
      <w:lang w:bidi="ar-DZ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01">
    <w:name w:val="EmailStyle301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bCs/>
    </w:rPr>
  </w:style>
  <w:style w:type="character" w:customStyle="1" w:styleId="zzmpTrailerItem">
    <w:name w:val="zzmpTrailerItem"/>
    <w:rsid w:val="00075547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normalchar1">
    <w:name w:val="normal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9A3B45"/>
    <w:rPr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rsid w:val="009A3B45"/>
    <w:rPr>
      <w:rFonts w:ascii="Arial" w:hAnsi="Arial"/>
      <w:sz w:val="24"/>
      <w:szCs w:val="24"/>
    </w:rPr>
  </w:style>
  <w:style w:type="character" w:styleId="EndnoteReference">
    <w:name w:val="endnote reference"/>
    <w:rsid w:val="009A3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dex1">
    <w:name w:val="index 1"/>
    <w:basedOn w:val="Heading1"/>
    <w:next w:val="Heading1"/>
    <w:autoRedefine/>
    <w:semiHidden/>
    <w:pPr>
      <w:spacing w:before="0" w:after="0"/>
      <w:ind w:left="200" w:hanging="200"/>
    </w:pPr>
    <w:rPr>
      <w:rFonts w:cs="Times New Roman"/>
      <w:b w:val="0"/>
      <w:bCs w:val="0"/>
      <w:i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2">
    <w:name w:val="index 2"/>
    <w:basedOn w:val="Heading2"/>
    <w:next w:val="Heading2"/>
    <w:autoRedefine/>
    <w:semiHidden/>
    <w:pPr>
      <w:spacing w:before="0" w:after="0"/>
    </w:pPr>
    <w:rPr>
      <w:rFonts w:cs="Times New Roman"/>
      <w:bCs w:val="0"/>
      <w:i w:val="0"/>
      <w:iCs w:val="0"/>
      <w:color w:val="FF0000"/>
      <w:sz w:val="18"/>
      <w:szCs w:val="18"/>
      <w:u w:val="single"/>
    </w:rPr>
  </w:style>
  <w:style w:type="paragraph" w:styleId="Index3">
    <w:name w:val="index 3"/>
    <w:basedOn w:val="Heading3"/>
    <w:next w:val="Heading3"/>
    <w:autoRedefine/>
    <w:semiHidden/>
    <w:pPr>
      <w:spacing w:before="0" w:after="0"/>
      <w:ind w:left="920" w:hanging="200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Index4">
    <w:name w:val="index 4"/>
    <w:basedOn w:val="Heading4"/>
    <w:next w:val="Heading4"/>
    <w:autoRedefine/>
    <w:semiHidden/>
    <w:pPr>
      <w:spacing w:before="0" w:after="0"/>
      <w:ind w:left="200" w:hanging="200"/>
    </w:pPr>
    <w:rPr>
      <w:rFonts w:ascii="Arial" w:hAnsi="Arial"/>
      <w:b w:val="0"/>
      <w:bCs w:val="0"/>
      <w:color w:val="800080"/>
      <w:sz w:val="18"/>
      <w:szCs w:val="18"/>
    </w:rPr>
  </w:style>
  <w:style w:type="paragraph" w:styleId="Index5">
    <w:name w:val="index 5"/>
    <w:basedOn w:val="Heading5"/>
    <w:next w:val="Heading5"/>
    <w:autoRedefine/>
    <w:semiHidden/>
    <w:pPr>
      <w:keepNext/>
      <w:spacing w:before="0" w:after="0"/>
      <w:ind w:left="920" w:hanging="200"/>
    </w:pPr>
    <w:rPr>
      <w:b w:val="0"/>
      <w:bCs w:val="0"/>
      <w:i w:val="0"/>
      <w:iCs w:val="0"/>
      <w:sz w:val="18"/>
      <w:szCs w:val="18"/>
    </w:rPr>
  </w:style>
  <w:style w:type="paragraph" w:styleId="TOC2">
    <w:name w:val="toc 2"/>
    <w:basedOn w:val="Heading2"/>
    <w:next w:val="Heading2"/>
    <w:autoRedefine/>
    <w:semiHidden/>
    <w:pPr>
      <w:keepNext w:val="0"/>
      <w:framePr w:wrap="around" w:vAnchor="text" w:hAnchor="text" w:y="1"/>
      <w:spacing w:before="0" w:after="0"/>
    </w:pPr>
    <w:rPr>
      <w:rFonts w:cs="Times New Roman"/>
      <w:bCs w:val="0"/>
      <w:i w:val="0"/>
      <w:iCs w:val="0"/>
      <w:color w:val="FF0000"/>
      <w:sz w:val="18"/>
      <w:szCs w:val="22"/>
      <w:u w:val="words"/>
    </w:rPr>
  </w:style>
  <w:style w:type="paragraph" w:styleId="TOC1">
    <w:name w:val="toc 1"/>
    <w:basedOn w:val="Heading1"/>
    <w:next w:val="Heading1"/>
    <w:autoRedefine/>
    <w:semiHidden/>
    <w:pPr>
      <w:keepNext w:val="0"/>
      <w:spacing w:before="0" w:after="120"/>
      <w:outlineLvl w:val="9"/>
    </w:pPr>
    <w:rPr>
      <w:rFonts w:cs="Times New Roman"/>
      <w:b w:val="0"/>
      <w:iCs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Heading3"/>
    <w:next w:val="Heading3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TOC4">
    <w:name w:val="toc 4"/>
    <w:basedOn w:val="Heading4"/>
    <w:next w:val="Heading4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ascii="Arial" w:hAnsi="Arial"/>
      <w:b w:val="0"/>
      <w:bCs w:val="0"/>
      <w:color w:val="800080"/>
      <w:sz w:val="18"/>
      <w:szCs w:val="18"/>
    </w:rPr>
  </w:style>
  <w:style w:type="paragraph" w:styleId="TOC5">
    <w:name w:val="toc 5"/>
    <w:basedOn w:val="Heading5"/>
    <w:next w:val="Heading5"/>
    <w:autoRedefine/>
    <w:semiHidden/>
    <w:pPr>
      <w:widowControl w:val="0"/>
      <w:pBdr>
        <w:between w:val="double" w:sz="6" w:space="1" w:color="auto"/>
      </w:pBdr>
      <w:shd w:val="clear" w:color="auto" w:fill="FFFFFF"/>
      <w:spacing w:before="0" w:after="0"/>
      <w:ind w:left="576" w:hanging="288"/>
      <w:outlineLvl w:val="9"/>
    </w:pPr>
    <w:rPr>
      <w:bCs w:val="0"/>
      <w:i w:val="0"/>
      <w:iCs w:val="0"/>
      <w:sz w:val="18"/>
      <w:szCs w:val="18"/>
      <w:lang w:bidi="ar-DZ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01">
    <w:name w:val="EmailStyle301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0">
    <w:name w:val="normal"/>
    <w:basedOn w:val="Normal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bCs/>
    </w:rPr>
  </w:style>
  <w:style w:type="character" w:customStyle="1" w:styleId="zzmpTrailerItem">
    <w:name w:val="zzmpTrailerItem"/>
    <w:rsid w:val="00075547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normalchar1">
    <w:name w:val="normal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9A3B45"/>
    <w:rPr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rsid w:val="009A3B45"/>
    <w:rPr>
      <w:rFonts w:ascii="Arial" w:hAnsi="Arial"/>
      <w:sz w:val="24"/>
      <w:szCs w:val="24"/>
    </w:rPr>
  </w:style>
  <w:style w:type="character" w:styleId="EndnoteReference">
    <w:name w:val="endnote reference"/>
    <w:rsid w:val="009A3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28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833">
          <w:marLeft w:val="0"/>
          <w:marRight w:val="0"/>
          <w:marTop w:val="0"/>
          <w:marBottom w:val="0"/>
          <w:divBdr>
            <w:top w:val="single" w:sz="4" w:space="0" w:color="000066"/>
            <w:left w:val="single" w:sz="4" w:space="0" w:color="000066"/>
            <w:bottom w:val="single" w:sz="4" w:space="0" w:color="000066"/>
            <w:right w:val="single" w:sz="4" w:space="0" w:color="000066"/>
          </w:divBdr>
          <w:divsChild>
            <w:div w:id="131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4BF2-33FF-4FD8-BE16-34A66D7C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2011-03-04T12:54:00Z</cp:lastPrinted>
  <dcterms:created xsi:type="dcterms:W3CDTF">2019-04-17T15:14:00Z</dcterms:created>
  <dcterms:modified xsi:type="dcterms:W3CDTF">2019-04-17T15:14:00Z</dcterms:modified>
</cp:coreProperties>
</file>