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tblLayout w:type="fixed"/>
        <w:tblLook w:val="01E0" w:firstRow="1" w:lastRow="1" w:firstColumn="1" w:lastColumn="1" w:noHBand="0" w:noVBand="0"/>
      </w:tblPr>
      <w:tblGrid>
        <w:gridCol w:w="1908"/>
        <w:gridCol w:w="7758"/>
      </w:tblGrid>
      <w:tr w:rsidR="00997FDA" w:rsidRPr="00AC6219">
        <w:trPr>
          <w:trHeight w:val="435"/>
        </w:trPr>
        <w:tc>
          <w:tcPr>
            <w:tcW w:w="1908" w:type="dxa"/>
            <w:vMerge w:val="restart"/>
          </w:tcPr>
          <w:p w:rsidR="00997FDA" w:rsidRPr="00AC6219" w:rsidRDefault="0099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C6219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997FDA" w:rsidRPr="00AC6219" w:rsidRDefault="0099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bottom w:val="single" w:sz="4" w:space="0" w:color="auto"/>
            </w:tcBorders>
            <w:vAlign w:val="center"/>
          </w:tcPr>
          <w:p w:rsidR="00997FDA" w:rsidRPr="00AC6219" w:rsidRDefault="0099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219">
              <w:rPr>
                <w:rFonts w:ascii="Times New Roman" w:hAnsi="Times New Roman"/>
                <w:b/>
                <w:sz w:val="24"/>
                <w:szCs w:val="24"/>
              </w:rPr>
              <w:t>The New York State Council of Health-system Pharmacists</w:t>
            </w:r>
          </w:p>
        </w:tc>
      </w:tr>
      <w:tr w:rsidR="00997FDA" w:rsidRPr="00AC6219">
        <w:trPr>
          <w:trHeight w:val="1187"/>
        </w:trPr>
        <w:tc>
          <w:tcPr>
            <w:tcW w:w="1908" w:type="dxa"/>
            <w:vMerge/>
          </w:tcPr>
          <w:p w:rsidR="00997FDA" w:rsidRPr="00AC6219" w:rsidRDefault="0099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58" w:type="dxa"/>
            <w:tcBorders>
              <w:top w:val="single" w:sz="4" w:space="0" w:color="auto"/>
            </w:tcBorders>
            <w:vAlign w:val="center"/>
          </w:tcPr>
          <w:p w:rsidR="00997FDA" w:rsidRPr="00AC6219" w:rsidRDefault="00997F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219">
              <w:rPr>
                <w:rFonts w:ascii="Times New Roman" w:hAnsi="Times New Roman"/>
                <w:sz w:val="24"/>
                <w:szCs w:val="24"/>
              </w:rPr>
              <w:t xml:space="preserve">210 Washington Avenue Extension </w:t>
            </w:r>
            <w:r w:rsidRPr="00AC621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AC6219">
              <w:rPr>
                <w:rFonts w:ascii="Times New Roman" w:hAnsi="Times New Roman"/>
                <w:sz w:val="24"/>
                <w:szCs w:val="24"/>
              </w:rPr>
              <w:t xml:space="preserve"> Albany, NY 12203</w:t>
            </w:r>
          </w:p>
          <w:p w:rsidR="00997FDA" w:rsidRPr="00AC6219" w:rsidRDefault="00997F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219">
              <w:rPr>
                <w:rFonts w:ascii="Times New Roman" w:hAnsi="Times New Roman"/>
                <w:sz w:val="24"/>
                <w:szCs w:val="24"/>
              </w:rPr>
              <w:t xml:space="preserve">(518) 456-8819 </w:t>
            </w:r>
            <w:r w:rsidRPr="00AC6219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AC6219">
              <w:rPr>
                <w:rFonts w:ascii="Times New Roman" w:hAnsi="Times New Roman"/>
                <w:sz w:val="24"/>
                <w:szCs w:val="24"/>
              </w:rPr>
              <w:t xml:space="preserve"> Fax: (518) 456-9319</w:t>
            </w:r>
          </w:p>
        </w:tc>
      </w:tr>
    </w:tbl>
    <w:p w:rsidR="00320E24" w:rsidRDefault="00320E24" w:rsidP="00320E24">
      <w:pPr>
        <w:jc w:val="center"/>
        <w:rPr>
          <w:rFonts w:ascii="Times New Roman" w:hAnsi="Times New Roman"/>
          <w:b/>
          <w:sz w:val="24"/>
          <w:szCs w:val="24"/>
        </w:rPr>
      </w:pPr>
      <w:r w:rsidRPr="00AC6219">
        <w:rPr>
          <w:rFonts w:ascii="Times New Roman" w:hAnsi="Times New Roman"/>
          <w:b/>
          <w:sz w:val="24"/>
          <w:szCs w:val="24"/>
        </w:rPr>
        <w:t xml:space="preserve">Pharmacy Technician </w:t>
      </w:r>
      <w:r w:rsidR="00956956">
        <w:rPr>
          <w:rFonts w:ascii="Times New Roman" w:hAnsi="Times New Roman"/>
          <w:b/>
          <w:sz w:val="24"/>
          <w:szCs w:val="24"/>
        </w:rPr>
        <w:t>Certification and Clarification of Duties</w:t>
      </w:r>
    </w:p>
    <w:p w:rsidR="00956956" w:rsidRPr="00F106D6" w:rsidRDefault="00956956" w:rsidP="0095695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S5162 (</w:t>
      </w:r>
      <w:proofErr w:type="spellStart"/>
      <w:r>
        <w:rPr>
          <w:rFonts w:ascii="Times New Roman" w:hAnsi="Times New Roman"/>
          <w:sz w:val="24"/>
          <w:szCs w:val="24"/>
        </w:rPr>
        <w:t>Stavisky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97FDA" w:rsidRDefault="00997FDA">
      <w:pPr>
        <w:jc w:val="center"/>
        <w:rPr>
          <w:rFonts w:ascii="Times New Roman" w:hAnsi="Times New Roman"/>
          <w:sz w:val="24"/>
          <w:szCs w:val="24"/>
        </w:rPr>
      </w:pPr>
    </w:p>
    <w:p w:rsidR="00997FDA" w:rsidRPr="00AC6219" w:rsidRDefault="00997FDA" w:rsidP="00997FDA">
      <w:pPr>
        <w:jc w:val="center"/>
        <w:rPr>
          <w:rFonts w:ascii="Times New Roman" w:hAnsi="Times New Roman"/>
          <w:b/>
          <w:sz w:val="24"/>
          <w:szCs w:val="24"/>
        </w:rPr>
      </w:pPr>
      <w:r w:rsidRPr="00AC6219">
        <w:rPr>
          <w:rFonts w:ascii="Times New Roman" w:hAnsi="Times New Roman"/>
          <w:b/>
          <w:sz w:val="24"/>
          <w:szCs w:val="24"/>
        </w:rPr>
        <w:t xml:space="preserve">Fact Sheet </w:t>
      </w:r>
    </w:p>
    <w:p w:rsidR="00997FDA" w:rsidRPr="00AC6219" w:rsidRDefault="00956956" w:rsidP="00997FD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April 18</w:t>
      </w:r>
      <w:r w:rsidRPr="00956956">
        <w:rPr>
          <w:rFonts w:ascii="Times New Roman" w:hAnsi="Times New Roman"/>
          <w:sz w:val="24"/>
          <w:szCs w:val="24"/>
          <w:vertAlign w:val="superscript"/>
        </w:rPr>
        <w:t>th</w:t>
      </w:r>
      <w:r w:rsidR="006F37EC">
        <w:rPr>
          <w:rFonts w:ascii="Times New Roman" w:hAnsi="Times New Roman"/>
          <w:sz w:val="24"/>
          <w:szCs w:val="24"/>
        </w:rPr>
        <w:t>, 2019</w:t>
      </w:r>
    </w:p>
    <w:p w:rsidR="00997FDA" w:rsidRPr="00AC6219" w:rsidRDefault="00997FDA">
      <w:pPr>
        <w:jc w:val="center"/>
        <w:rPr>
          <w:rFonts w:ascii="Times New Roman" w:hAnsi="Times New Roman"/>
          <w:sz w:val="24"/>
          <w:szCs w:val="24"/>
        </w:rPr>
      </w:pPr>
    </w:p>
    <w:p w:rsidR="00320E24" w:rsidRPr="00320E24" w:rsidRDefault="006F37EC" w:rsidP="00320E24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Compelling Need for Legislative Action:</w:t>
      </w:r>
    </w:p>
    <w:p w:rsidR="00956956" w:rsidRPr="00006BD9" w:rsidRDefault="006F37EC" w:rsidP="00006BD9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006BD9">
        <w:rPr>
          <w:rFonts w:ascii="Times New Roman" w:hAnsi="Times New Roman"/>
          <w:sz w:val="24"/>
          <w:szCs w:val="24"/>
        </w:rPr>
        <w:t xml:space="preserve">NYS is one of </w:t>
      </w:r>
      <w:r w:rsidR="00956956" w:rsidRPr="00006BD9">
        <w:rPr>
          <w:rFonts w:ascii="Times New Roman" w:hAnsi="Times New Roman"/>
          <w:sz w:val="24"/>
          <w:szCs w:val="24"/>
        </w:rPr>
        <w:t xml:space="preserve">a few </w:t>
      </w:r>
      <w:r w:rsidRPr="00006BD9">
        <w:rPr>
          <w:rFonts w:ascii="Times New Roman" w:hAnsi="Times New Roman"/>
          <w:sz w:val="24"/>
          <w:szCs w:val="24"/>
        </w:rPr>
        <w:t xml:space="preserve">states </w:t>
      </w:r>
      <w:r w:rsidR="00956956" w:rsidRPr="00006BD9">
        <w:rPr>
          <w:rFonts w:ascii="Times New Roman" w:hAnsi="Times New Roman"/>
          <w:sz w:val="24"/>
          <w:szCs w:val="24"/>
        </w:rPr>
        <w:t xml:space="preserve">in which pharmacy technicians are not </w:t>
      </w:r>
      <w:r w:rsidR="003735A7">
        <w:rPr>
          <w:rFonts w:ascii="Times New Roman" w:hAnsi="Times New Roman"/>
          <w:sz w:val="24"/>
          <w:szCs w:val="24"/>
        </w:rPr>
        <w:t xml:space="preserve">recognized </w:t>
      </w:r>
      <w:r w:rsidR="00956956" w:rsidRPr="00006BD9">
        <w:rPr>
          <w:rFonts w:ascii="Times New Roman" w:hAnsi="Times New Roman"/>
          <w:sz w:val="24"/>
          <w:szCs w:val="24"/>
        </w:rPr>
        <w:t>in statute</w:t>
      </w:r>
      <w:r w:rsidR="00A571AC" w:rsidRPr="00006BD9">
        <w:rPr>
          <w:rFonts w:ascii="Times New Roman" w:hAnsi="Times New Roman"/>
          <w:sz w:val="24"/>
          <w:szCs w:val="24"/>
        </w:rPr>
        <w:t xml:space="preserve">. They are regulated by the </w:t>
      </w:r>
      <w:r w:rsidR="00956956" w:rsidRPr="00006BD9">
        <w:rPr>
          <w:rFonts w:ascii="Times New Roman" w:hAnsi="Times New Roman"/>
          <w:sz w:val="24"/>
          <w:szCs w:val="24"/>
        </w:rPr>
        <w:t xml:space="preserve">NYS Education Department </w:t>
      </w:r>
      <w:r w:rsidR="00A571AC" w:rsidRPr="00006BD9">
        <w:rPr>
          <w:rFonts w:ascii="Times New Roman" w:hAnsi="Times New Roman"/>
          <w:sz w:val="24"/>
          <w:szCs w:val="24"/>
        </w:rPr>
        <w:t>(NYSED) as ‘unlicensed persons’. These regulations</w:t>
      </w:r>
      <w:r w:rsidR="00956956" w:rsidRPr="00006BD9">
        <w:rPr>
          <w:rFonts w:ascii="Times New Roman" w:hAnsi="Times New Roman"/>
          <w:sz w:val="24"/>
          <w:szCs w:val="24"/>
        </w:rPr>
        <w:t xml:space="preserve"> have not been updated since </w:t>
      </w:r>
      <w:r w:rsidR="00956956" w:rsidRPr="003735A7">
        <w:rPr>
          <w:rFonts w:ascii="Times New Roman" w:hAnsi="Times New Roman"/>
          <w:b/>
          <w:sz w:val="24"/>
          <w:szCs w:val="24"/>
        </w:rPr>
        <w:t>1982</w:t>
      </w:r>
      <w:r w:rsidR="00006BD9" w:rsidRPr="00006BD9">
        <w:rPr>
          <w:rFonts w:ascii="Times New Roman" w:hAnsi="Times New Roman"/>
          <w:sz w:val="24"/>
          <w:szCs w:val="24"/>
        </w:rPr>
        <w:t>.</w:t>
      </w:r>
      <w:r w:rsidR="00006BD9">
        <w:rPr>
          <w:rFonts w:ascii="Times New Roman" w:hAnsi="Times New Roman"/>
          <w:sz w:val="24"/>
          <w:szCs w:val="24"/>
        </w:rPr>
        <w:t xml:space="preserve"> Since then,</w:t>
      </w:r>
      <w:r w:rsidR="00A571AC" w:rsidRPr="00006BD9">
        <w:rPr>
          <w:rFonts w:ascii="Times New Roman" w:hAnsi="Times New Roman"/>
          <w:sz w:val="24"/>
          <w:szCs w:val="24"/>
        </w:rPr>
        <w:t xml:space="preserve"> the NYS BOP provided guidance to guide evolving practice</w:t>
      </w:r>
    </w:p>
    <w:p w:rsidR="00956956" w:rsidRDefault="00A571AC" w:rsidP="00956956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56956">
        <w:rPr>
          <w:rFonts w:ascii="Times New Roman" w:hAnsi="Times New Roman"/>
          <w:sz w:val="24"/>
          <w:szCs w:val="24"/>
        </w:rPr>
        <w:t>995</w:t>
      </w:r>
      <w:r>
        <w:rPr>
          <w:rFonts w:ascii="Times New Roman" w:hAnsi="Times New Roman"/>
          <w:sz w:val="24"/>
          <w:szCs w:val="24"/>
        </w:rPr>
        <w:t>:</w:t>
      </w:r>
      <w:r w:rsidR="00956956">
        <w:rPr>
          <w:rFonts w:ascii="Times New Roman" w:hAnsi="Times New Roman"/>
          <w:sz w:val="24"/>
          <w:szCs w:val="24"/>
        </w:rPr>
        <w:t xml:space="preserve"> Pharmacy Technician Certification Board (PTCB) was established to create national standards for pharmacy technician education and certification. NYS has never recognized these </w:t>
      </w:r>
      <w:r>
        <w:rPr>
          <w:rFonts w:ascii="Times New Roman" w:hAnsi="Times New Roman"/>
          <w:sz w:val="24"/>
          <w:szCs w:val="24"/>
        </w:rPr>
        <w:t>standards</w:t>
      </w:r>
    </w:p>
    <w:p w:rsidR="00956956" w:rsidRPr="00956956" w:rsidRDefault="00956956" w:rsidP="00956956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</w:t>
      </w:r>
      <w:r w:rsidR="00A571A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new interpretation of NYSED regulations disavowed the decades of practice espoused by the NYS BOP guidance, leading to a </w:t>
      </w:r>
      <w:r w:rsidRPr="003735A7">
        <w:rPr>
          <w:rFonts w:ascii="Times New Roman" w:hAnsi="Times New Roman"/>
          <w:b/>
          <w:sz w:val="24"/>
          <w:szCs w:val="24"/>
        </w:rPr>
        <w:t>crisis</w:t>
      </w:r>
      <w:r w:rsidR="00A571AC">
        <w:rPr>
          <w:rFonts w:ascii="Times New Roman" w:hAnsi="Times New Roman"/>
          <w:sz w:val="24"/>
          <w:szCs w:val="24"/>
        </w:rPr>
        <w:t xml:space="preserve">. </w:t>
      </w:r>
      <w:r w:rsidR="00843B4D">
        <w:rPr>
          <w:rFonts w:ascii="Times New Roman" w:hAnsi="Times New Roman"/>
          <w:sz w:val="24"/>
          <w:szCs w:val="24"/>
        </w:rPr>
        <w:t xml:space="preserve">Pharmacy technicians </w:t>
      </w:r>
      <w:r w:rsidR="00A571AC">
        <w:rPr>
          <w:rFonts w:ascii="Times New Roman" w:hAnsi="Times New Roman"/>
          <w:sz w:val="24"/>
          <w:szCs w:val="24"/>
        </w:rPr>
        <w:t>are</w:t>
      </w:r>
      <w:r w:rsidR="00843B4D">
        <w:rPr>
          <w:rFonts w:ascii="Times New Roman" w:hAnsi="Times New Roman"/>
          <w:sz w:val="24"/>
          <w:szCs w:val="24"/>
        </w:rPr>
        <w:t xml:space="preserve"> thr</w:t>
      </w:r>
      <w:r w:rsidR="00A571AC">
        <w:rPr>
          <w:rFonts w:ascii="Times New Roman" w:hAnsi="Times New Roman"/>
          <w:sz w:val="24"/>
          <w:szCs w:val="24"/>
        </w:rPr>
        <w:t>eatened with losing their jobs. P</w:t>
      </w:r>
      <w:r w:rsidR="00843B4D">
        <w:rPr>
          <w:rFonts w:ascii="Times New Roman" w:hAnsi="Times New Roman"/>
          <w:sz w:val="24"/>
          <w:szCs w:val="24"/>
        </w:rPr>
        <w:t xml:space="preserve">harmacists </w:t>
      </w:r>
      <w:r w:rsidR="00A571AC">
        <w:rPr>
          <w:rFonts w:ascii="Times New Roman" w:hAnsi="Times New Roman"/>
          <w:sz w:val="24"/>
          <w:szCs w:val="24"/>
        </w:rPr>
        <w:t>have been</w:t>
      </w:r>
      <w:r w:rsidR="00843B4D">
        <w:rPr>
          <w:rFonts w:ascii="Times New Roman" w:hAnsi="Times New Roman"/>
          <w:sz w:val="24"/>
          <w:szCs w:val="24"/>
        </w:rPr>
        <w:t xml:space="preserve"> removed from providing clinical services</w:t>
      </w:r>
      <w:r w:rsidR="003735A7">
        <w:rPr>
          <w:rFonts w:ascii="Times New Roman" w:hAnsi="Times New Roman"/>
          <w:sz w:val="24"/>
          <w:szCs w:val="24"/>
        </w:rPr>
        <w:t xml:space="preserve"> and are</w:t>
      </w:r>
      <w:r w:rsidR="00A571AC">
        <w:rPr>
          <w:rFonts w:ascii="Times New Roman" w:hAnsi="Times New Roman"/>
          <w:sz w:val="24"/>
          <w:szCs w:val="24"/>
        </w:rPr>
        <w:t xml:space="preserve"> now doing technical work</w:t>
      </w:r>
    </w:p>
    <w:p w:rsidR="00843B4D" w:rsidRDefault="00843B4D" w:rsidP="00843B4D">
      <w:pPr>
        <w:ind w:left="720"/>
        <w:rPr>
          <w:rFonts w:ascii="Times New Roman" w:hAnsi="Times New Roman"/>
          <w:sz w:val="24"/>
          <w:szCs w:val="24"/>
        </w:rPr>
      </w:pPr>
    </w:p>
    <w:p w:rsidR="00843B4D" w:rsidRPr="00320E24" w:rsidRDefault="00843B4D" w:rsidP="00843B4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What this Legislation does:</w:t>
      </w:r>
    </w:p>
    <w:p w:rsidR="00843B4D" w:rsidRDefault="00843B4D" w:rsidP="00843B4D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bill will codify some of the </w:t>
      </w:r>
      <w:r w:rsidR="00A571AC">
        <w:rPr>
          <w:rFonts w:ascii="Times New Roman" w:hAnsi="Times New Roman"/>
          <w:sz w:val="24"/>
          <w:szCs w:val="24"/>
        </w:rPr>
        <w:t xml:space="preserve">previous </w:t>
      </w:r>
      <w:r>
        <w:rPr>
          <w:rFonts w:ascii="Times New Roman" w:hAnsi="Times New Roman"/>
          <w:sz w:val="24"/>
          <w:szCs w:val="24"/>
        </w:rPr>
        <w:t>guidance from the NYS BOP and bring NYS in line with modern standards and practices</w:t>
      </w:r>
      <w:r w:rsidR="00A571AC">
        <w:rPr>
          <w:rFonts w:ascii="Times New Roman" w:hAnsi="Times New Roman"/>
          <w:sz w:val="24"/>
          <w:szCs w:val="24"/>
        </w:rPr>
        <w:t xml:space="preserve">, </w:t>
      </w:r>
      <w:r w:rsidR="003735A7">
        <w:rPr>
          <w:rFonts w:ascii="Times New Roman" w:hAnsi="Times New Roman"/>
          <w:sz w:val="24"/>
          <w:szCs w:val="24"/>
        </w:rPr>
        <w:t xml:space="preserve">updating oversight for pharmacy technicians </w:t>
      </w:r>
      <w:r w:rsidR="00A571AC">
        <w:rPr>
          <w:rFonts w:ascii="Times New Roman" w:hAnsi="Times New Roman"/>
          <w:sz w:val="24"/>
          <w:szCs w:val="24"/>
        </w:rPr>
        <w:t>for first time since 1982</w:t>
      </w:r>
    </w:p>
    <w:p w:rsidR="00843B4D" w:rsidRDefault="00843B4D" w:rsidP="00843B4D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Nationally-accredited pharmacy technician certification will be required for new technicians joining hospitals and health-systems, creating </w:t>
      </w:r>
      <w:r w:rsidR="00A571AC">
        <w:rPr>
          <w:rFonts w:ascii="Times New Roman" w:hAnsi="Times New Roman"/>
          <w:sz w:val="24"/>
          <w:szCs w:val="24"/>
        </w:rPr>
        <w:t xml:space="preserve">training and quality </w:t>
      </w:r>
      <w:r>
        <w:rPr>
          <w:rFonts w:ascii="Times New Roman" w:hAnsi="Times New Roman"/>
          <w:sz w:val="24"/>
          <w:szCs w:val="24"/>
        </w:rPr>
        <w:t>standards for the first time</w:t>
      </w:r>
      <w:r w:rsidR="003735A7">
        <w:rPr>
          <w:rFonts w:ascii="Times New Roman" w:hAnsi="Times New Roman"/>
          <w:sz w:val="24"/>
          <w:szCs w:val="24"/>
        </w:rPr>
        <w:t xml:space="preserve"> in NYS</w:t>
      </w:r>
    </w:p>
    <w:p w:rsidR="00320E24" w:rsidRPr="00AC6219" w:rsidRDefault="00320E24" w:rsidP="00006BD9">
      <w:pPr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Grandparenting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r w:rsidR="00006BD9">
        <w:rPr>
          <w:rFonts w:ascii="Times New Roman" w:hAnsi="Times New Roman"/>
          <w:sz w:val="24"/>
          <w:szCs w:val="24"/>
        </w:rPr>
        <w:t>if</w:t>
      </w:r>
      <w:r>
        <w:rPr>
          <w:rFonts w:ascii="Times New Roman" w:hAnsi="Times New Roman"/>
          <w:sz w:val="24"/>
          <w:szCs w:val="24"/>
        </w:rPr>
        <w:t xml:space="preserve"> individual has worked at least 5 years as a </w:t>
      </w:r>
      <w:r w:rsidR="00006BD9">
        <w:rPr>
          <w:rFonts w:ascii="Times New Roman" w:hAnsi="Times New Roman"/>
          <w:sz w:val="24"/>
          <w:szCs w:val="24"/>
        </w:rPr>
        <w:t xml:space="preserve">pharmacy technician </w:t>
      </w:r>
      <w:r>
        <w:rPr>
          <w:rFonts w:ascii="Times New Roman" w:hAnsi="Times New Roman"/>
          <w:sz w:val="24"/>
          <w:szCs w:val="24"/>
        </w:rPr>
        <w:t xml:space="preserve">(and 18 consecutive months with a single employer) </w:t>
      </w:r>
      <w:r w:rsidR="00006BD9">
        <w:rPr>
          <w:rFonts w:ascii="Times New Roman" w:hAnsi="Times New Roman"/>
          <w:sz w:val="24"/>
          <w:szCs w:val="24"/>
        </w:rPr>
        <w:t>may continue to work, though not compound</w:t>
      </w:r>
    </w:p>
    <w:p w:rsidR="008B3B68" w:rsidRDefault="008B3B68">
      <w:pPr>
        <w:rPr>
          <w:rFonts w:ascii="Times New Roman" w:hAnsi="Times New Roman"/>
          <w:b/>
          <w:sz w:val="24"/>
          <w:szCs w:val="24"/>
          <w:u w:val="single"/>
        </w:rPr>
      </w:pPr>
    </w:p>
    <w:p w:rsidR="00320E24" w:rsidRPr="00006BD9" w:rsidRDefault="00320E24" w:rsidP="00320E24">
      <w:pPr>
        <w:rPr>
          <w:rFonts w:ascii="Times New Roman" w:hAnsi="Times New Roman"/>
          <w:b/>
          <w:sz w:val="24"/>
          <w:szCs w:val="24"/>
          <w:u w:val="single"/>
        </w:rPr>
      </w:pPr>
      <w:r w:rsidRPr="00006BD9">
        <w:rPr>
          <w:rFonts w:ascii="Times New Roman" w:hAnsi="Times New Roman"/>
          <w:b/>
          <w:sz w:val="24"/>
          <w:szCs w:val="24"/>
          <w:u w:val="single"/>
        </w:rPr>
        <w:t>Proposed impact on public health:</w:t>
      </w:r>
    </w:p>
    <w:p w:rsidR="00320E24" w:rsidRPr="00AC6219" w:rsidRDefault="00320E24" w:rsidP="00320E24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C6219">
        <w:rPr>
          <w:rFonts w:ascii="Times New Roman" w:hAnsi="Times New Roman"/>
          <w:sz w:val="24"/>
          <w:szCs w:val="24"/>
        </w:rPr>
        <w:t>Increase in medication safety</w:t>
      </w:r>
    </w:p>
    <w:p w:rsidR="00320E24" w:rsidRDefault="00006BD9" w:rsidP="00320E24">
      <w:pPr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="00320E24">
        <w:rPr>
          <w:rFonts w:ascii="Times New Roman" w:hAnsi="Times New Roman"/>
          <w:sz w:val="24"/>
          <w:szCs w:val="24"/>
        </w:rPr>
        <w:t>edication errors harm 15 million patients in US hospitals each year</w:t>
      </w:r>
    </w:p>
    <w:p w:rsidR="00320E24" w:rsidRDefault="00320E24" w:rsidP="00320E24">
      <w:pPr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Technician c</w:t>
      </w:r>
      <w:r w:rsidRPr="00F4274E">
        <w:rPr>
          <w:rFonts w:ascii="Times New Roman" w:hAnsi="Times New Roman"/>
          <w:sz w:val="24"/>
          <w:szCs w:val="24"/>
        </w:rPr>
        <w:t>ertification associated with higher pharmacy math and compounding skills</w:t>
      </w:r>
    </w:p>
    <w:p w:rsidR="00320E24" w:rsidRPr="00AC6219" w:rsidRDefault="00320E24" w:rsidP="00320E24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AC6219">
        <w:rPr>
          <w:rFonts w:ascii="Times New Roman" w:hAnsi="Times New Roman"/>
          <w:sz w:val="24"/>
          <w:szCs w:val="24"/>
        </w:rPr>
        <w:t xml:space="preserve">Allowing pharmacists to </w:t>
      </w:r>
      <w:r>
        <w:rPr>
          <w:rFonts w:ascii="Times New Roman" w:hAnsi="Times New Roman"/>
          <w:sz w:val="24"/>
          <w:szCs w:val="24"/>
        </w:rPr>
        <w:t xml:space="preserve">spend more time on patient care services </w:t>
      </w:r>
    </w:p>
    <w:p w:rsidR="00320E24" w:rsidRPr="00D16412" w:rsidRDefault="00320E24" w:rsidP="00320E24">
      <w:pPr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 w:rsidRPr="00D16412">
        <w:rPr>
          <w:rFonts w:ascii="Times New Roman" w:hAnsi="Times New Roman"/>
          <w:sz w:val="24"/>
          <w:szCs w:val="24"/>
        </w:rPr>
        <w:t>A survey of over 600 pharmacists in various settings revealed that at least 83% of respondents agreed that working with certified technicians allows them to spend more time on patient care services</w:t>
      </w:r>
      <w:r>
        <w:rPr>
          <w:rFonts w:ascii="Times New Roman" w:hAnsi="Times New Roman"/>
          <w:sz w:val="24"/>
          <w:szCs w:val="24"/>
        </w:rPr>
        <w:t xml:space="preserve"> such as patient education</w:t>
      </w:r>
      <w:r w:rsidRPr="00D16412">
        <w:rPr>
          <w:rFonts w:ascii="Times New Roman" w:hAnsi="Times New Roman"/>
          <w:sz w:val="24"/>
          <w:szCs w:val="24"/>
        </w:rPr>
        <w:t>.</w:t>
      </w:r>
    </w:p>
    <w:p w:rsidR="00320E24" w:rsidRPr="00D16412" w:rsidRDefault="00320E24" w:rsidP="00320E24">
      <w:pPr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D16412">
        <w:rPr>
          <w:rFonts w:ascii="Times New Roman" w:hAnsi="Times New Roman"/>
          <w:sz w:val="24"/>
          <w:szCs w:val="24"/>
        </w:rPr>
        <w:t>Comparison to other states:</w:t>
      </w:r>
    </w:p>
    <w:p w:rsidR="00320E24" w:rsidRPr="00006BD9" w:rsidRDefault="00006BD9" w:rsidP="00320E24">
      <w:pPr>
        <w:numPr>
          <w:ilvl w:val="1"/>
          <w:numId w:val="3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Nearly every state – even the other 5 which do not license pharmacy technicians – create guidance and structure for pharmacy technicians to prepare medications under supervision</w:t>
      </w:r>
    </w:p>
    <w:p w:rsidR="00320E24" w:rsidRPr="00AC6219" w:rsidRDefault="00320E24" w:rsidP="00320E24">
      <w:pPr>
        <w:rPr>
          <w:rFonts w:ascii="Times New Roman" w:hAnsi="Times New Roman"/>
          <w:b/>
          <w:sz w:val="24"/>
          <w:szCs w:val="24"/>
        </w:rPr>
      </w:pPr>
    </w:p>
    <w:p w:rsidR="00320E24" w:rsidRPr="00006BD9" w:rsidRDefault="00320E24" w:rsidP="00320E24">
      <w:pPr>
        <w:rPr>
          <w:rFonts w:ascii="Times New Roman" w:hAnsi="Times New Roman"/>
          <w:b/>
          <w:sz w:val="24"/>
          <w:szCs w:val="24"/>
          <w:u w:val="single"/>
        </w:rPr>
      </w:pPr>
      <w:r w:rsidRPr="00006BD9">
        <w:rPr>
          <w:rFonts w:ascii="Times New Roman" w:hAnsi="Times New Roman"/>
          <w:b/>
          <w:sz w:val="24"/>
          <w:szCs w:val="24"/>
          <w:u w:val="single"/>
        </w:rPr>
        <w:t>Support:</w:t>
      </w:r>
    </w:p>
    <w:p w:rsidR="00320E24" w:rsidRDefault="00320E24" w:rsidP="00320E24">
      <w:pPr>
        <w:numPr>
          <w:ilvl w:val="0"/>
          <w:numId w:val="39"/>
        </w:numPr>
        <w:ind w:hanging="720"/>
        <w:rPr>
          <w:rFonts w:ascii="Times New Roman" w:hAnsi="Times New Roman"/>
          <w:sz w:val="24"/>
          <w:szCs w:val="24"/>
        </w:rPr>
      </w:pPr>
      <w:r w:rsidRPr="00006BD9">
        <w:rPr>
          <w:rFonts w:ascii="Times New Roman" w:hAnsi="Times New Roman"/>
          <w:sz w:val="24"/>
          <w:szCs w:val="24"/>
        </w:rPr>
        <w:t>New York State Council of Health-system Pharma</w:t>
      </w:r>
      <w:r w:rsidR="00006BD9" w:rsidRPr="00006BD9">
        <w:rPr>
          <w:rFonts w:ascii="Times New Roman" w:hAnsi="Times New Roman"/>
          <w:sz w:val="24"/>
          <w:szCs w:val="24"/>
        </w:rPr>
        <w:t xml:space="preserve">cists (NYSCHP), the </w:t>
      </w:r>
      <w:r w:rsidR="00006BD9">
        <w:rPr>
          <w:rFonts w:ascii="Times New Roman" w:hAnsi="Times New Roman"/>
          <w:sz w:val="24"/>
          <w:szCs w:val="24"/>
        </w:rPr>
        <w:t>Community Pharmacy Association of New York State</w:t>
      </w:r>
      <w:r w:rsidRPr="00006BD9">
        <w:rPr>
          <w:rFonts w:ascii="Times New Roman" w:hAnsi="Times New Roman"/>
          <w:sz w:val="24"/>
          <w:szCs w:val="24"/>
        </w:rPr>
        <w:t>, Greater New Yo</w:t>
      </w:r>
      <w:r w:rsidR="0053294E" w:rsidRPr="00006BD9">
        <w:rPr>
          <w:rFonts w:ascii="Times New Roman" w:hAnsi="Times New Roman"/>
          <w:sz w:val="24"/>
          <w:szCs w:val="24"/>
        </w:rPr>
        <w:t>rk Hospital Association (GNYHA)</w:t>
      </w:r>
      <w:r w:rsidR="00006BD9">
        <w:rPr>
          <w:rFonts w:ascii="Times New Roman" w:hAnsi="Times New Roman"/>
          <w:sz w:val="24"/>
          <w:szCs w:val="24"/>
        </w:rPr>
        <w:t xml:space="preserve">, </w:t>
      </w:r>
      <w:r w:rsidRPr="00006BD9">
        <w:rPr>
          <w:rFonts w:ascii="Times New Roman" w:hAnsi="Times New Roman"/>
          <w:sz w:val="24"/>
          <w:szCs w:val="24"/>
        </w:rPr>
        <w:t>1199 SEIU (United Healthcare Workers East)</w:t>
      </w:r>
      <w:r w:rsidR="00006BD9">
        <w:rPr>
          <w:rFonts w:ascii="Times New Roman" w:hAnsi="Times New Roman"/>
          <w:sz w:val="24"/>
          <w:szCs w:val="24"/>
        </w:rPr>
        <w:t>, Healthcare Association of New York State (HANYS)</w:t>
      </w:r>
    </w:p>
    <w:sectPr w:rsidR="00320E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720" w:bottom="117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488" w:rsidRDefault="00025488">
      <w:r>
        <w:separator/>
      </w:r>
    </w:p>
  </w:endnote>
  <w:endnote w:type="continuationSeparator" w:id="0">
    <w:p w:rsidR="00025488" w:rsidRDefault="00025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DE" w:rsidRDefault="00E63E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DE" w:rsidRDefault="00E63E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DE" w:rsidRDefault="00E63E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488" w:rsidRDefault="00025488">
      <w:r>
        <w:separator/>
      </w:r>
    </w:p>
  </w:footnote>
  <w:footnote w:type="continuationSeparator" w:id="0">
    <w:p w:rsidR="00025488" w:rsidRDefault="00025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DE" w:rsidRDefault="00E63E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FDA" w:rsidRDefault="00997FDA">
    <w:pPr>
      <w:pStyle w:val="Header"/>
      <w:rPr>
        <w:rFonts w:ascii="Times New Roman" w:hAnsi="Times New Roman"/>
      </w:rPr>
    </w:pPr>
    <w:r>
      <w:rPr>
        <w:rFonts w:ascii="Times New Roman" w:hAnsi="Times New Roman"/>
        <w:snapToGrid w:val="0"/>
      </w:rPr>
      <w:t xml:space="preserve">Page </w:t>
    </w:r>
    <w:r>
      <w:rPr>
        <w:rFonts w:ascii="Times New Roman" w:hAnsi="Times New Roman"/>
        <w:snapToGrid w:val="0"/>
      </w:rPr>
      <w:fldChar w:fldCharType="begin"/>
    </w:r>
    <w:r>
      <w:rPr>
        <w:rFonts w:ascii="Times New Roman" w:hAnsi="Times New Roman"/>
        <w:snapToGrid w:val="0"/>
      </w:rPr>
      <w:instrText xml:space="preserve"> PAGE </w:instrText>
    </w:r>
    <w:r>
      <w:rPr>
        <w:rFonts w:ascii="Times New Roman" w:hAnsi="Times New Roman"/>
        <w:snapToGrid w:val="0"/>
      </w:rPr>
      <w:fldChar w:fldCharType="separate"/>
    </w:r>
    <w:r w:rsidR="00006BD9">
      <w:rPr>
        <w:rFonts w:ascii="Times New Roman" w:hAnsi="Times New Roman"/>
        <w:noProof/>
        <w:snapToGrid w:val="0"/>
      </w:rPr>
      <w:t>2</w:t>
    </w:r>
    <w:r>
      <w:rPr>
        <w:rFonts w:ascii="Times New Roman" w:hAnsi="Times New Roman"/>
        <w:snapToGrid w:val="0"/>
      </w:rPr>
      <w:fldChar w:fldCharType="end"/>
    </w:r>
    <w:r>
      <w:rPr>
        <w:rFonts w:ascii="Times New Roman" w:hAnsi="Times New Roman"/>
        <w:snapToGrid w:val="0"/>
      </w:rPr>
      <w:t xml:space="preserve"> of </w:t>
    </w:r>
    <w:r>
      <w:rPr>
        <w:rFonts w:ascii="Times New Roman" w:hAnsi="Times New Roman"/>
        <w:snapToGrid w:val="0"/>
      </w:rPr>
      <w:fldChar w:fldCharType="begin"/>
    </w:r>
    <w:r>
      <w:rPr>
        <w:rFonts w:ascii="Times New Roman" w:hAnsi="Times New Roman"/>
        <w:snapToGrid w:val="0"/>
      </w:rPr>
      <w:instrText xml:space="preserve"> NUMPAGES </w:instrText>
    </w:r>
    <w:r>
      <w:rPr>
        <w:rFonts w:ascii="Times New Roman" w:hAnsi="Times New Roman"/>
        <w:snapToGrid w:val="0"/>
      </w:rPr>
      <w:fldChar w:fldCharType="separate"/>
    </w:r>
    <w:r w:rsidR="00006BD9">
      <w:rPr>
        <w:rFonts w:ascii="Times New Roman" w:hAnsi="Times New Roman"/>
        <w:noProof/>
        <w:snapToGrid w:val="0"/>
      </w:rPr>
      <w:t>2</w:t>
    </w:r>
    <w:r>
      <w:rPr>
        <w:rFonts w:ascii="Times New Roman" w:hAnsi="Times New Roman"/>
        <w:snapToGrid w:val="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DE" w:rsidRDefault="00E63ED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AE9"/>
    <w:multiLevelType w:val="hybridMultilevel"/>
    <w:tmpl w:val="7488E26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21B63D4"/>
    <w:multiLevelType w:val="multilevel"/>
    <w:tmpl w:val="59BA9D7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34F1A62"/>
    <w:multiLevelType w:val="hybridMultilevel"/>
    <w:tmpl w:val="CE4231C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0C1DB2"/>
    <w:multiLevelType w:val="hybridMultilevel"/>
    <w:tmpl w:val="0DE44B3C"/>
    <w:lvl w:ilvl="0" w:tplc="7FF8F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07AE3EB9"/>
    <w:multiLevelType w:val="multilevel"/>
    <w:tmpl w:val="C79068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1385E"/>
    <w:multiLevelType w:val="hybridMultilevel"/>
    <w:tmpl w:val="75721CCE"/>
    <w:lvl w:ilvl="0" w:tplc="60620A3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3F545A"/>
    <w:multiLevelType w:val="multilevel"/>
    <w:tmpl w:val="A412E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A5CDF"/>
    <w:multiLevelType w:val="hybridMultilevel"/>
    <w:tmpl w:val="4AC4AD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>
    <w:nsid w:val="243D62F1"/>
    <w:multiLevelType w:val="hybridMultilevel"/>
    <w:tmpl w:val="59BA9D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53B7EC7"/>
    <w:multiLevelType w:val="hybridMultilevel"/>
    <w:tmpl w:val="EE56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A2D0D"/>
    <w:multiLevelType w:val="hybridMultilevel"/>
    <w:tmpl w:val="D840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47C9A"/>
    <w:multiLevelType w:val="hybridMultilevel"/>
    <w:tmpl w:val="C79068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8B7E53"/>
    <w:multiLevelType w:val="hybridMultilevel"/>
    <w:tmpl w:val="03AE9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0311EF"/>
    <w:multiLevelType w:val="hybridMultilevel"/>
    <w:tmpl w:val="DF149130"/>
    <w:lvl w:ilvl="0" w:tplc="2D30D4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7FF8F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FC2C70"/>
    <w:multiLevelType w:val="hybridMultilevel"/>
    <w:tmpl w:val="2104E2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F67942"/>
    <w:multiLevelType w:val="hybridMultilevel"/>
    <w:tmpl w:val="F7F28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4559DE"/>
    <w:multiLevelType w:val="hybridMultilevel"/>
    <w:tmpl w:val="453C6552"/>
    <w:lvl w:ilvl="0" w:tplc="56E2B24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>
    <w:nsid w:val="36023990"/>
    <w:multiLevelType w:val="hybridMultilevel"/>
    <w:tmpl w:val="D5C0C0A0"/>
    <w:lvl w:ilvl="0" w:tplc="740EC68C">
      <w:start w:val="3"/>
      <w:numFmt w:val="upperLetter"/>
      <w:lvlText w:val="%1.)"/>
      <w:lvlJc w:val="left"/>
      <w:pPr>
        <w:tabs>
          <w:tab w:val="num" w:pos="990"/>
        </w:tabs>
        <w:ind w:left="9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8">
    <w:nsid w:val="38083B1C"/>
    <w:multiLevelType w:val="hybridMultilevel"/>
    <w:tmpl w:val="A2D440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DB743A"/>
    <w:multiLevelType w:val="multilevel"/>
    <w:tmpl w:val="35A67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827CAE"/>
    <w:multiLevelType w:val="hybridMultilevel"/>
    <w:tmpl w:val="F2289456"/>
    <w:lvl w:ilvl="0" w:tplc="7FF8F3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53A35685"/>
    <w:multiLevelType w:val="multilevel"/>
    <w:tmpl w:val="C8587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442098"/>
    <w:multiLevelType w:val="hybridMultilevel"/>
    <w:tmpl w:val="49D848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8030AB"/>
    <w:multiLevelType w:val="hybridMultilevel"/>
    <w:tmpl w:val="B5B09418"/>
    <w:lvl w:ilvl="0" w:tplc="60620A3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5B944A2"/>
    <w:multiLevelType w:val="hybridMultilevel"/>
    <w:tmpl w:val="DFB24BA8"/>
    <w:lvl w:ilvl="0" w:tplc="BB1EF9EC">
      <w:start w:val="1"/>
      <w:numFmt w:val="decimal"/>
      <w:lvlText w:val="%1.)"/>
      <w:lvlJc w:val="left"/>
      <w:pPr>
        <w:tabs>
          <w:tab w:val="num" w:pos="990"/>
        </w:tabs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67E3761"/>
    <w:multiLevelType w:val="hybridMultilevel"/>
    <w:tmpl w:val="EB629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DD3F3B"/>
    <w:multiLevelType w:val="hybridMultilevel"/>
    <w:tmpl w:val="D6F63622"/>
    <w:lvl w:ilvl="0" w:tplc="3FAE4C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>
    <w:nsid w:val="6DE4006F"/>
    <w:multiLevelType w:val="multilevel"/>
    <w:tmpl w:val="FE941B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F310B71"/>
    <w:multiLevelType w:val="hybridMultilevel"/>
    <w:tmpl w:val="372C0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1167D"/>
    <w:multiLevelType w:val="hybridMultilevel"/>
    <w:tmpl w:val="BED2FF6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B71F06"/>
    <w:multiLevelType w:val="hybridMultilevel"/>
    <w:tmpl w:val="21E26164"/>
    <w:lvl w:ilvl="0" w:tplc="A3DCDE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2D951FF"/>
    <w:multiLevelType w:val="hybridMultilevel"/>
    <w:tmpl w:val="9BD814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AB7418"/>
    <w:multiLevelType w:val="hybridMultilevel"/>
    <w:tmpl w:val="FE941B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767C48A5"/>
    <w:multiLevelType w:val="hybridMultilevel"/>
    <w:tmpl w:val="5502C1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7C197D"/>
    <w:multiLevelType w:val="hybridMultilevel"/>
    <w:tmpl w:val="F53475F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E2176C"/>
    <w:multiLevelType w:val="hybridMultilevel"/>
    <w:tmpl w:val="6B3C7B76"/>
    <w:lvl w:ilvl="0" w:tplc="2D30D4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947F88"/>
    <w:multiLevelType w:val="hybridMultilevel"/>
    <w:tmpl w:val="C7C6AB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7">
    <w:nsid w:val="7D4224C4"/>
    <w:multiLevelType w:val="hybridMultilevel"/>
    <w:tmpl w:val="38765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88506F"/>
    <w:multiLevelType w:val="hybridMultilevel"/>
    <w:tmpl w:val="6AC81BF4"/>
    <w:lvl w:ilvl="0" w:tplc="BB9A9946">
      <w:start w:val="1"/>
      <w:numFmt w:val="upperLetter"/>
      <w:lvlText w:val="%1.)"/>
      <w:lvlJc w:val="left"/>
      <w:pPr>
        <w:tabs>
          <w:tab w:val="num" w:pos="990"/>
        </w:tabs>
        <w:ind w:left="99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25"/>
  </w:num>
  <w:num w:numId="2">
    <w:abstractNumId w:val="13"/>
  </w:num>
  <w:num w:numId="3">
    <w:abstractNumId w:val="20"/>
  </w:num>
  <w:num w:numId="4">
    <w:abstractNumId w:val="3"/>
  </w:num>
  <w:num w:numId="5">
    <w:abstractNumId w:val="35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6"/>
  </w:num>
  <w:num w:numId="10">
    <w:abstractNumId w:val="26"/>
  </w:num>
  <w:num w:numId="11">
    <w:abstractNumId w:val="7"/>
  </w:num>
  <w:num w:numId="12">
    <w:abstractNumId w:val="16"/>
  </w:num>
  <w:num w:numId="13">
    <w:abstractNumId w:val="32"/>
  </w:num>
  <w:num w:numId="14">
    <w:abstractNumId w:val="1"/>
  </w:num>
  <w:num w:numId="15">
    <w:abstractNumId w:val="5"/>
  </w:num>
  <w:num w:numId="16">
    <w:abstractNumId w:val="27"/>
  </w:num>
  <w:num w:numId="17">
    <w:abstractNumId w:val="23"/>
  </w:num>
  <w:num w:numId="18">
    <w:abstractNumId w:val="11"/>
  </w:num>
  <w:num w:numId="19">
    <w:abstractNumId w:val="4"/>
  </w:num>
  <w:num w:numId="20">
    <w:abstractNumId w:val="33"/>
  </w:num>
  <w:num w:numId="21">
    <w:abstractNumId w:val="22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4"/>
  </w:num>
  <w:num w:numId="25">
    <w:abstractNumId w:val="38"/>
  </w:num>
  <w:num w:numId="26">
    <w:abstractNumId w:val="17"/>
  </w:num>
  <w:num w:numId="27">
    <w:abstractNumId w:val="2"/>
  </w:num>
  <w:num w:numId="28">
    <w:abstractNumId w:val="21"/>
  </w:num>
  <w:num w:numId="29">
    <w:abstractNumId w:val="19"/>
  </w:num>
  <w:num w:numId="30">
    <w:abstractNumId w:val="6"/>
  </w:num>
  <w:num w:numId="31">
    <w:abstractNumId w:val="29"/>
  </w:num>
  <w:num w:numId="32">
    <w:abstractNumId w:val="30"/>
  </w:num>
  <w:num w:numId="33">
    <w:abstractNumId w:val="15"/>
  </w:num>
  <w:num w:numId="34">
    <w:abstractNumId w:val="10"/>
  </w:num>
  <w:num w:numId="35">
    <w:abstractNumId w:val="37"/>
  </w:num>
  <w:num w:numId="36">
    <w:abstractNumId w:val="9"/>
  </w:num>
  <w:num w:numId="37">
    <w:abstractNumId w:val="12"/>
  </w:num>
  <w:num w:numId="38">
    <w:abstractNumId w:val="14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85TrailerDate" w:val="0"/>
    <w:docVar w:name="85TrailerDateField" w:val="1"/>
    <w:docVar w:name="85TrailerDraft" w:val="0"/>
    <w:docVar w:name="85TrailerTime" w:val="1"/>
    <w:docVar w:name="85TrailerType" w:val="102"/>
    <w:docVar w:name="MPDocID" w:val="-7.-1"/>
    <w:docVar w:name="MPDocIDTemplateDefault" w:val="%n|.%v"/>
    <w:docVar w:name="NewDocStampType" w:val="7"/>
  </w:docVars>
  <w:rsids>
    <w:rsidRoot w:val="00BF2533"/>
    <w:rsid w:val="00006BD9"/>
    <w:rsid w:val="00025488"/>
    <w:rsid w:val="00056617"/>
    <w:rsid w:val="000F11E1"/>
    <w:rsid w:val="00142335"/>
    <w:rsid w:val="00143A0E"/>
    <w:rsid w:val="00170128"/>
    <w:rsid w:val="0018283D"/>
    <w:rsid w:val="001B7FC6"/>
    <w:rsid w:val="00210AE8"/>
    <w:rsid w:val="00240CD7"/>
    <w:rsid w:val="002F318F"/>
    <w:rsid w:val="00320E24"/>
    <w:rsid w:val="003735A7"/>
    <w:rsid w:val="003A0B67"/>
    <w:rsid w:val="003E741A"/>
    <w:rsid w:val="0046285F"/>
    <w:rsid w:val="00481C4F"/>
    <w:rsid w:val="004A7A4A"/>
    <w:rsid w:val="00512191"/>
    <w:rsid w:val="0053294E"/>
    <w:rsid w:val="005C0C67"/>
    <w:rsid w:val="00615729"/>
    <w:rsid w:val="00653809"/>
    <w:rsid w:val="006E3581"/>
    <w:rsid w:val="006F37EC"/>
    <w:rsid w:val="0071121E"/>
    <w:rsid w:val="00800482"/>
    <w:rsid w:val="00832981"/>
    <w:rsid w:val="008375C5"/>
    <w:rsid w:val="00843B4D"/>
    <w:rsid w:val="008B3B68"/>
    <w:rsid w:val="00956956"/>
    <w:rsid w:val="00982651"/>
    <w:rsid w:val="0098575D"/>
    <w:rsid w:val="00997FDA"/>
    <w:rsid w:val="009F408F"/>
    <w:rsid w:val="00A26F24"/>
    <w:rsid w:val="00A571AC"/>
    <w:rsid w:val="00A96863"/>
    <w:rsid w:val="00AF7A8C"/>
    <w:rsid w:val="00B201AE"/>
    <w:rsid w:val="00B33174"/>
    <w:rsid w:val="00BD5833"/>
    <w:rsid w:val="00BE3A34"/>
    <w:rsid w:val="00BF2533"/>
    <w:rsid w:val="00C17F52"/>
    <w:rsid w:val="00C57A94"/>
    <w:rsid w:val="00CA16C5"/>
    <w:rsid w:val="00CE7934"/>
    <w:rsid w:val="00D3119B"/>
    <w:rsid w:val="00D81AD9"/>
    <w:rsid w:val="00E00C4E"/>
    <w:rsid w:val="00E63EDE"/>
    <w:rsid w:val="00F36579"/>
    <w:rsid w:val="00FC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Heading1"/>
    <w:next w:val="Heading1"/>
    <w:autoRedefine/>
    <w:semiHidden/>
    <w:pPr>
      <w:spacing w:before="0" w:after="0"/>
      <w:ind w:left="200" w:hanging="200"/>
    </w:pPr>
    <w:rPr>
      <w:rFonts w:cs="Times New Roman"/>
      <w:b w:val="0"/>
      <w:bCs w:val="0"/>
      <w:i/>
      <w:color w:val="FF0000"/>
      <w:kern w:val="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2">
    <w:name w:val="index 2"/>
    <w:basedOn w:val="Heading2"/>
    <w:next w:val="Heading2"/>
    <w:autoRedefine/>
    <w:semiHidden/>
    <w:pPr>
      <w:spacing w:before="0" w:after="0"/>
    </w:pPr>
    <w:rPr>
      <w:rFonts w:cs="Times New Roman"/>
      <w:bCs w:val="0"/>
      <w:i w:val="0"/>
      <w:iCs w:val="0"/>
      <w:color w:val="FF0000"/>
      <w:sz w:val="18"/>
      <w:szCs w:val="18"/>
      <w:u w:val="single"/>
    </w:rPr>
  </w:style>
  <w:style w:type="paragraph" w:styleId="Index3">
    <w:name w:val="index 3"/>
    <w:basedOn w:val="Heading3"/>
    <w:next w:val="Heading3"/>
    <w:autoRedefine/>
    <w:semiHidden/>
    <w:pPr>
      <w:spacing w:before="0" w:after="0"/>
      <w:ind w:left="920" w:hanging="200"/>
    </w:pPr>
    <w:rPr>
      <w:rFonts w:cs="Times New Roman"/>
      <w:b w:val="0"/>
      <w:bCs w:val="0"/>
      <w:color w:val="008080"/>
      <w:sz w:val="18"/>
      <w:szCs w:val="18"/>
      <w:u w:val="single"/>
    </w:rPr>
  </w:style>
  <w:style w:type="paragraph" w:styleId="Index4">
    <w:name w:val="index 4"/>
    <w:basedOn w:val="Heading4"/>
    <w:next w:val="Heading4"/>
    <w:autoRedefine/>
    <w:semiHidden/>
    <w:pPr>
      <w:spacing w:before="0" w:after="0"/>
      <w:ind w:left="200" w:hanging="200"/>
    </w:pPr>
    <w:rPr>
      <w:rFonts w:ascii="Arial" w:hAnsi="Arial"/>
      <w:b w:val="0"/>
      <w:bCs w:val="0"/>
      <w:color w:val="800080"/>
      <w:sz w:val="18"/>
      <w:szCs w:val="18"/>
    </w:rPr>
  </w:style>
  <w:style w:type="paragraph" w:styleId="Index5">
    <w:name w:val="index 5"/>
    <w:basedOn w:val="Heading5"/>
    <w:next w:val="Heading5"/>
    <w:autoRedefine/>
    <w:semiHidden/>
    <w:pPr>
      <w:keepNext/>
      <w:spacing w:before="0" w:after="0"/>
      <w:ind w:left="920" w:hanging="200"/>
    </w:pPr>
    <w:rPr>
      <w:b w:val="0"/>
      <w:bCs w:val="0"/>
      <w:i w:val="0"/>
      <w:iCs w:val="0"/>
      <w:sz w:val="18"/>
      <w:szCs w:val="18"/>
    </w:rPr>
  </w:style>
  <w:style w:type="paragraph" w:styleId="TOC2">
    <w:name w:val="toc 2"/>
    <w:basedOn w:val="Heading2"/>
    <w:next w:val="Heading2"/>
    <w:autoRedefine/>
    <w:semiHidden/>
    <w:pPr>
      <w:keepNext w:val="0"/>
      <w:framePr w:wrap="around" w:vAnchor="text" w:hAnchor="text" w:y="1"/>
      <w:spacing w:before="0" w:after="0"/>
    </w:pPr>
    <w:rPr>
      <w:rFonts w:cs="Times New Roman"/>
      <w:bCs w:val="0"/>
      <w:i w:val="0"/>
      <w:iCs w:val="0"/>
      <w:color w:val="FF0000"/>
      <w:sz w:val="18"/>
      <w:szCs w:val="22"/>
      <w:u w:val="words"/>
    </w:rPr>
  </w:style>
  <w:style w:type="paragraph" w:styleId="TOC1">
    <w:name w:val="toc 1"/>
    <w:basedOn w:val="Heading1"/>
    <w:next w:val="Heading1"/>
    <w:autoRedefine/>
    <w:semiHidden/>
    <w:pPr>
      <w:keepNext w:val="0"/>
      <w:spacing w:before="0" w:after="120"/>
      <w:outlineLvl w:val="9"/>
    </w:pPr>
    <w:rPr>
      <w:rFonts w:cs="Times New Roman"/>
      <w:b w:val="0"/>
      <w:iCs/>
      <w:color w:val="FF0000"/>
      <w:kern w:val="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3">
    <w:name w:val="toc 3"/>
    <w:basedOn w:val="Heading3"/>
    <w:next w:val="Heading3"/>
    <w:autoRedefine/>
    <w:semiHidden/>
    <w:pPr>
      <w:keepNext w:val="0"/>
      <w:pBdr>
        <w:between w:val="double" w:sz="6" w:space="0" w:color="auto"/>
      </w:pBdr>
      <w:spacing w:before="0" w:after="0"/>
      <w:outlineLvl w:val="9"/>
    </w:pPr>
    <w:rPr>
      <w:rFonts w:cs="Times New Roman"/>
      <w:b w:val="0"/>
      <w:bCs w:val="0"/>
      <w:color w:val="008080"/>
      <w:sz w:val="18"/>
      <w:szCs w:val="18"/>
      <w:u w:val="single"/>
    </w:rPr>
  </w:style>
  <w:style w:type="paragraph" w:styleId="TOC4">
    <w:name w:val="toc 4"/>
    <w:basedOn w:val="Heading4"/>
    <w:next w:val="Heading4"/>
    <w:autoRedefine/>
    <w:semiHidden/>
    <w:pPr>
      <w:keepNext w:val="0"/>
      <w:pBdr>
        <w:between w:val="double" w:sz="6" w:space="0" w:color="auto"/>
      </w:pBdr>
      <w:spacing w:before="0" w:after="0"/>
      <w:outlineLvl w:val="9"/>
    </w:pPr>
    <w:rPr>
      <w:rFonts w:ascii="Arial" w:hAnsi="Arial"/>
      <w:b w:val="0"/>
      <w:bCs w:val="0"/>
      <w:color w:val="800080"/>
      <w:sz w:val="18"/>
      <w:szCs w:val="18"/>
    </w:rPr>
  </w:style>
  <w:style w:type="paragraph" w:styleId="TOC5">
    <w:name w:val="toc 5"/>
    <w:basedOn w:val="Heading5"/>
    <w:next w:val="Heading5"/>
    <w:autoRedefine/>
    <w:semiHidden/>
    <w:pPr>
      <w:widowControl w:val="0"/>
      <w:pBdr>
        <w:between w:val="double" w:sz="6" w:space="1" w:color="auto"/>
      </w:pBdr>
      <w:shd w:val="clear" w:color="auto" w:fill="FFFFFF"/>
      <w:spacing w:before="0" w:after="0"/>
      <w:ind w:left="576" w:hanging="288"/>
      <w:outlineLvl w:val="9"/>
    </w:pPr>
    <w:rPr>
      <w:bCs w:val="0"/>
      <w:i w:val="0"/>
      <w:iCs w:val="0"/>
      <w:sz w:val="18"/>
      <w:szCs w:val="18"/>
      <w:lang w:bidi="ar-DZ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01">
    <w:name w:val="EmailStyle301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Normal1">
    <w:name w:val="Normal1"/>
    <w:basedOn w:val="Normal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Pr>
      <w:rFonts w:ascii="Arial" w:hAnsi="Arial"/>
      <w:b/>
      <w:bCs/>
    </w:rPr>
  </w:style>
  <w:style w:type="character" w:customStyle="1" w:styleId="zzmpTrailerItem">
    <w:name w:val="zzmpTrailerItem"/>
    <w:rsid w:val="00075547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normalchar1">
    <w:name w:val="normal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Courier New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9A3B45"/>
    <w:rPr>
      <w:sz w:val="24"/>
      <w:szCs w:val="24"/>
      <w:lang w:val="x-none" w:eastAsia="x-none"/>
    </w:rPr>
  </w:style>
  <w:style w:type="character" w:customStyle="1" w:styleId="EndnoteTextChar">
    <w:name w:val="Endnote Text Char"/>
    <w:link w:val="EndnoteText"/>
    <w:rsid w:val="009A3B45"/>
    <w:rPr>
      <w:rFonts w:ascii="Arial" w:hAnsi="Arial"/>
      <w:sz w:val="24"/>
      <w:szCs w:val="24"/>
    </w:rPr>
  </w:style>
  <w:style w:type="character" w:styleId="EndnoteReference">
    <w:name w:val="endnote reference"/>
    <w:rsid w:val="009A3B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Heading1"/>
    <w:next w:val="Heading1"/>
    <w:autoRedefine/>
    <w:semiHidden/>
    <w:pPr>
      <w:spacing w:before="0" w:after="0"/>
      <w:ind w:left="200" w:hanging="200"/>
    </w:pPr>
    <w:rPr>
      <w:rFonts w:cs="Times New Roman"/>
      <w:b w:val="0"/>
      <w:bCs w:val="0"/>
      <w:i/>
      <w:color w:val="FF0000"/>
      <w:kern w:val="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Index2">
    <w:name w:val="index 2"/>
    <w:basedOn w:val="Heading2"/>
    <w:next w:val="Heading2"/>
    <w:autoRedefine/>
    <w:semiHidden/>
    <w:pPr>
      <w:spacing w:before="0" w:after="0"/>
    </w:pPr>
    <w:rPr>
      <w:rFonts w:cs="Times New Roman"/>
      <w:bCs w:val="0"/>
      <w:i w:val="0"/>
      <w:iCs w:val="0"/>
      <w:color w:val="FF0000"/>
      <w:sz w:val="18"/>
      <w:szCs w:val="18"/>
      <w:u w:val="single"/>
    </w:rPr>
  </w:style>
  <w:style w:type="paragraph" w:styleId="Index3">
    <w:name w:val="index 3"/>
    <w:basedOn w:val="Heading3"/>
    <w:next w:val="Heading3"/>
    <w:autoRedefine/>
    <w:semiHidden/>
    <w:pPr>
      <w:spacing w:before="0" w:after="0"/>
      <w:ind w:left="920" w:hanging="200"/>
    </w:pPr>
    <w:rPr>
      <w:rFonts w:cs="Times New Roman"/>
      <w:b w:val="0"/>
      <w:bCs w:val="0"/>
      <w:color w:val="008080"/>
      <w:sz w:val="18"/>
      <w:szCs w:val="18"/>
      <w:u w:val="single"/>
    </w:rPr>
  </w:style>
  <w:style w:type="paragraph" w:styleId="Index4">
    <w:name w:val="index 4"/>
    <w:basedOn w:val="Heading4"/>
    <w:next w:val="Heading4"/>
    <w:autoRedefine/>
    <w:semiHidden/>
    <w:pPr>
      <w:spacing w:before="0" w:after="0"/>
      <w:ind w:left="200" w:hanging="200"/>
    </w:pPr>
    <w:rPr>
      <w:rFonts w:ascii="Arial" w:hAnsi="Arial"/>
      <w:b w:val="0"/>
      <w:bCs w:val="0"/>
      <w:color w:val="800080"/>
      <w:sz w:val="18"/>
      <w:szCs w:val="18"/>
    </w:rPr>
  </w:style>
  <w:style w:type="paragraph" w:styleId="Index5">
    <w:name w:val="index 5"/>
    <w:basedOn w:val="Heading5"/>
    <w:next w:val="Heading5"/>
    <w:autoRedefine/>
    <w:semiHidden/>
    <w:pPr>
      <w:keepNext/>
      <w:spacing w:before="0" w:after="0"/>
      <w:ind w:left="920" w:hanging="200"/>
    </w:pPr>
    <w:rPr>
      <w:b w:val="0"/>
      <w:bCs w:val="0"/>
      <w:i w:val="0"/>
      <w:iCs w:val="0"/>
      <w:sz w:val="18"/>
      <w:szCs w:val="18"/>
    </w:rPr>
  </w:style>
  <w:style w:type="paragraph" w:styleId="TOC2">
    <w:name w:val="toc 2"/>
    <w:basedOn w:val="Heading2"/>
    <w:next w:val="Heading2"/>
    <w:autoRedefine/>
    <w:semiHidden/>
    <w:pPr>
      <w:keepNext w:val="0"/>
      <w:framePr w:wrap="around" w:vAnchor="text" w:hAnchor="text" w:y="1"/>
      <w:spacing w:before="0" w:after="0"/>
    </w:pPr>
    <w:rPr>
      <w:rFonts w:cs="Times New Roman"/>
      <w:bCs w:val="0"/>
      <w:i w:val="0"/>
      <w:iCs w:val="0"/>
      <w:color w:val="FF0000"/>
      <w:sz w:val="18"/>
      <w:szCs w:val="22"/>
      <w:u w:val="words"/>
    </w:rPr>
  </w:style>
  <w:style w:type="paragraph" w:styleId="TOC1">
    <w:name w:val="toc 1"/>
    <w:basedOn w:val="Heading1"/>
    <w:next w:val="Heading1"/>
    <w:autoRedefine/>
    <w:semiHidden/>
    <w:pPr>
      <w:keepNext w:val="0"/>
      <w:spacing w:before="0" w:after="120"/>
      <w:outlineLvl w:val="9"/>
    </w:pPr>
    <w:rPr>
      <w:rFonts w:cs="Times New Roman"/>
      <w:b w:val="0"/>
      <w:iCs/>
      <w:color w:val="FF0000"/>
      <w:kern w:val="0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OC3">
    <w:name w:val="toc 3"/>
    <w:basedOn w:val="Heading3"/>
    <w:next w:val="Heading3"/>
    <w:autoRedefine/>
    <w:semiHidden/>
    <w:pPr>
      <w:keepNext w:val="0"/>
      <w:pBdr>
        <w:between w:val="double" w:sz="6" w:space="0" w:color="auto"/>
      </w:pBdr>
      <w:spacing w:before="0" w:after="0"/>
      <w:outlineLvl w:val="9"/>
    </w:pPr>
    <w:rPr>
      <w:rFonts w:cs="Times New Roman"/>
      <w:b w:val="0"/>
      <w:bCs w:val="0"/>
      <w:color w:val="008080"/>
      <w:sz w:val="18"/>
      <w:szCs w:val="18"/>
      <w:u w:val="single"/>
    </w:rPr>
  </w:style>
  <w:style w:type="paragraph" w:styleId="TOC4">
    <w:name w:val="toc 4"/>
    <w:basedOn w:val="Heading4"/>
    <w:next w:val="Heading4"/>
    <w:autoRedefine/>
    <w:semiHidden/>
    <w:pPr>
      <w:keepNext w:val="0"/>
      <w:pBdr>
        <w:between w:val="double" w:sz="6" w:space="0" w:color="auto"/>
      </w:pBdr>
      <w:spacing w:before="0" w:after="0"/>
      <w:outlineLvl w:val="9"/>
    </w:pPr>
    <w:rPr>
      <w:rFonts w:ascii="Arial" w:hAnsi="Arial"/>
      <w:b w:val="0"/>
      <w:bCs w:val="0"/>
      <w:color w:val="800080"/>
      <w:sz w:val="18"/>
      <w:szCs w:val="18"/>
    </w:rPr>
  </w:style>
  <w:style w:type="paragraph" w:styleId="TOC5">
    <w:name w:val="toc 5"/>
    <w:basedOn w:val="Heading5"/>
    <w:next w:val="Heading5"/>
    <w:autoRedefine/>
    <w:semiHidden/>
    <w:pPr>
      <w:widowControl w:val="0"/>
      <w:pBdr>
        <w:between w:val="double" w:sz="6" w:space="1" w:color="auto"/>
      </w:pBdr>
      <w:shd w:val="clear" w:color="auto" w:fill="FFFFFF"/>
      <w:spacing w:before="0" w:after="0"/>
      <w:ind w:left="576" w:hanging="288"/>
      <w:outlineLvl w:val="9"/>
    </w:pPr>
    <w:rPr>
      <w:bCs w:val="0"/>
      <w:i w:val="0"/>
      <w:iCs w:val="0"/>
      <w:sz w:val="18"/>
      <w:szCs w:val="18"/>
      <w:lang w:bidi="ar-DZ"/>
    </w:rPr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01">
    <w:name w:val="EmailStyle301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customStyle="1" w:styleId="Normal1">
    <w:name w:val="Normal1"/>
    <w:basedOn w:val="Normal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Pr>
      <w:rFonts w:ascii="Arial" w:hAnsi="Arial"/>
      <w:b/>
      <w:bCs/>
    </w:rPr>
  </w:style>
  <w:style w:type="character" w:customStyle="1" w:styleId="zzmpTrailerItem">
    <w:name w:val="zzmpTrailerItem"/>
    <w:rsid w:val="00075547"/>
    <w:rPr>
      <w:rFonts w:ascii="Arial" w:hAnsi="Arial" w:cs="Arial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customStyle="1" w:styleId="normalchar1">
    <w:name w:val="normal__char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TMLPreformattedChar">
    <w:name w:val="HTML Preformatted Char"/>
    <w:link w:val="HTMLPreformatted"/>
    <w:uiPriority w:val="99"/>
    <w:rPr>
      <w:rFonts w:ascii="Courier New" w:hAnsi="Courier New" w:cs="Courier New"/>
    </w:rPr>
  </w:style>
  <w:style w:type="character" w:styleId="FollowedHyperlink">
    <w:name w:val="FollowedHyperlink"/>
    <w:rPr>
      <w:color w:val="800080"/>
      <w:u w:val="single"/>
    </w:rPr>
  </w:style>
  <w:style w:type="paragraph" w:styleId="EndnoteText">
    <w:name w:val="endnote text"/>
    <w:basedOn w:val="Normal"/>
    <w:link w:val="EndnoteTextChar"/>
    <w:rsid w:val="009A3B45"/>
    <w:rPr>
      <w:sz w:val="24"/>
      <w:szCs w:val="24"/>
      <w:lang w:val="x-none" w:eastAsia="x-none"/>
    </w:rPr>
  </w:style>
  <w:style w:type="character" w:customStyle="1" w:styleId="EndnoteTextChar">
    <w:name w:val="Endnote Text Char"/>
    <w:link w:val="EndnoteText"/>
    <w:rsid w:val="009A3B45"/>
    <w:rPr>
      <w:rFonts w:ascii="Arial" w:hAnsi="Arial"/>
      <w:sz w:val="24"/>
      <w:szCs w:val="24"/>
    </w:rPr>
  </w:style>
  <w:style w:type="character" w:styleId="EndnoteReference">
    <w:name w:val="endnote reference"/>
    <w:rsid w:val="009A3B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4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7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228">
      <w:bodyDiv w:val="1"/>
      <w:marLeft w:val="0"/>
      <w:marRight w:val="0"/>
      <w:marTop w:val="50"/>
      <w:marBottom w:val="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7833">
          <w:marLeft w:val="0"/>
          <w:marRight w:val="0"/>
          <w:marTop w:val="0"/>
          <w:marBottom w:val="0"/>
          <w:divBdr>
            <w:top w:val="single" w:sz="4" w:space="0" w:color="000066"/>
            <w:left w:val="single" w:sz="4" w:space="0" w:color="000066"/>
            <w:bottom w:val="single" w:sz="4" w:space="0" w:color="000066"/>
            <w:right w:val="single" w:sz="4" w:space="0" w:color="000066"/>
          </w:divBdr>
          <w:divsChild>
            <w:div w:id="13155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32BE9-BC6B-4017-9F86-954BB2D8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2654</CharactersWithSpaces>
  <SharedDoc>false</SharedDoc>
  <HLinks>
    <vt:vector size="12" baseType="variant">
      <vt:variant>
        <vt:i4>5046364</vt:i4>
      </vt:variant>
      <vt:variant>
        <vt:i4>3</vt:i4>
      </vt:variant>
      <vt:variant>
        <vt:i4>0</vt:i4>
      </vt:variant>
      <vt:variant>
        <vt:i4>5</vt:i4>
      </vt:variant>
      <vt:variant>
        <vt:lpwstr>http://www.ihi.org/about/news/Documents/IHIPressRelease_IHILaunchesCampaigntoReduceHarm_Dec06.pdf</vt:lpwstr>
      </vt:variant>
      <vt:variant>
        <vt:lpwstr/>
      </vt:variant>
      <vt:variant>
        <vt:i4>7012458</vt:i4>
      </vt:variant>
      <vt:variant>
        <vt:i4>0</vt:i4>
      </vt:variant>
      <vt:variant>
        <vt:i4>0</vt:i4>
      </vt:variant>
      <vt:variant>
        <vt:i4>5</vt:i4>
      </vt:variant>
      <vt:variant>
        <vt:lpwstr>http://healthaffairs.org/blog/2015/09/22/stemming-the-tide-of-prescription-opioid-overuse-misuse-and-abuse/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2011-03-04T12:54:00Z</cp:lastPrinted>
  <dcterms:created xsi:type="dcterms:W3CDTF">2019-04-17T12:36:00Z</dcterms:created>
  <dcterms:modified xsi:type="dcterms:W3CDTF">2019-04-21T15:51:00Z</dcterms:modified>
</cp:coreProperties>
</file>